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15">
  <w:body>
    <w:p w:rsidR="008B5A93" w:rsidP="22A5A959" w:rsidRDefault="00303870" w14:paraId="37EAF84D" w14:textId="1DD94734" w14:noSpellErr="1">
      <w:pPr>
        <w:pStyle w:val="Title"/>
        <w:keepNext w:val="1"/>
        <w:rPr>
          <w:b w:val="1"/>
          <w:bCs w:val="1"/>
        </w:rPr>
      </w:pPr>
      <w:r w:rsidRPr="22A5A959" w:rsidR="2F6AD5A5">
        <w:rPr>
          <w:b w:val="1"/>
          <w:bCs w:val="1"/>
        </w:rPr>
        <w:t>Dokumentation der Digitaltauglichkeit</w:t>
      </w:r>
    </w:p>
    <w:p w:rsidR="00303870" w:rsidP="00303870" w:rsidRDefault="00303870" w14:paraId="513BCA09" w14:textId="378C6CFD">
      <w:r w:rsidRPr="00303870">
        <w:t>Die Dokumentation der Digitaltauglichkeit ist ein formeller, letzter Schritt. Sie dokumentieren, auf welche Aspekte der Digitaltauglichkeit Sie besonders geachtet haben, und wie diese in das Regelungsvorhaben eingeflossen sind.</w:t>
      </w:r>
    </w:p>
    <w:tbl>
      <w:tblPr>
        <w:tblW w:w="9072" w:type="dxa"/>
        <w:tblInd w:w="-70" w:type="dxa"/>
        <w:tblBorders>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315"/>
        <w:gridCol w:w="3757"/>
      </w:tblGrid>
      <w:tr w:rsidR="00AD46D5" w:rsidTr="27551155" w14:paraId="43421106" w14:textId="471B72F0">
        <w:trPr>
          <w:trHeight w:val="300"/>
        </w:trPr>
        <w:tc>
          <w:tcPr>
            <w:tcW w:w="5315" w:type="dxa"/>
            <w:tcBorders>
              <w:top w:val="nil"/>
              <w:bottom w:val="nil"/>
              <w:right w:val="nil"/>
            </w:tcBorders>
            <w:tcMar>
              <w:right w:w="284" w:type="dxa"/>
            </w:tcMar>
          </w:tcPr>
          <w:p w:rsidR="00AD46D5" w:rsidP="00BE6DBB" w:rsidRDefault="00AD46D5" w14:paraId="71FE7D8C" w14:textId="77777777">
            <w:pPr>
              <w:pStyle w:val="Heading2"/>
            </w:pPr>
            <w:r>
              <w:t>So funktioniert es</w:t>
            </w:r>
          </w:p>
          <w:p w:rsidRPr="00B30ECA" w:rsidR="00AD46D5" w:rsidP="00B30ECA" w:rsidRDefault="00AD46D5" w14:paraId="4B235094" w14:textId="09C181A9">
            <w:pPr>
              <w:pStyle w:val="ListParagraph"/>
              <w:numPr>
                <w:ilvl w:val="0"/>
                <w:numId w:val="9"/>
              </w:numPr>
            </w:pPr>
            <w:r w:rsidRPr="00B30ECA">
              <w:t>Bearbeiten Sie die Dokumentation</w:t>
            </w:r>
            <w:r w:rsidRPr="00B30ECA" w:rsidR="00B30ECA">
              <w:t>.</w:t>
            </w:r>
          </w:p>
          <w:p w:rsidRPr="00B30ECA" w:rsidR="00AD46D5" w:rsidP="00B30ECA" w:rsidRDefault="00AD46D5" w14:paraId="24D72D30" w14:textId="5F97D748">
            <w:pPr>
              <w:pStyle w:val="ListParagraph"/>
              <w:numPr>
                <w:ilvl w:val="0"/>
                <w:numId w:val="9"/>
              </w:numPr>
            </w:pPr>
            <w:r w:rsidRPr="00B30ECA">
              <w:t>Senden Sie die ausgefüllte Dokumentation an den NKR</w:t>
            </w:r>
            <w:r w:rsidRPr="00B30ECA" w:rsidR="00B30ECA">
              <w:t>.</w:t>
            </w:r>
          </w:p>
          <w:p w:rsidRPr="00AD46D5" w:rsidR="00AD46D5" w:rsidP="00B30ECA" w:rsidRDefault="00AD46D5" w14:paraId="1FE2EA8F" w14:textId="77777777" w14:noSpellErr="1">
            <w:pPr>
              <w:pStyle w:val="ListParagraph"/>
              <w:numPr>
                <w:ilvl w:val="1"/>
                <w:numId w:val="11"/>
              </w:numPr>
              <w:rPr/>
            </w:pPr>
            <w:r w:rsidR="00AD46D5">
              <w:rPr/>
              <w:t xml:space="preserve">Senden Sie die Dokumentation </w:t>
            </w:r>
            <w:r w:rsidRPr="27551155" w:rsidR="00AD46D5">
              <w:rPr>
                <w:b w:val="1"/>
                <w:bCs w:val="1"/>
              </w:rPr>
              <w:t>als PDF per E-Mail</w:t>
            </w:r>
            <w:r w:rsidR="00AD46D5">
              <w:rPr/>
              <w:t xml:space="preserve"> an folgende Adresse: </w:t>
            </w:r>
            <w:hyperlink r:id="R2e4fb9d8574d421a">
              <w:r w:rsidRPr="27551155" w:rsidR="00AD46D5">
                <w:rPr>
                  <w:rStyle w:val="Hyperlink"/>
                </w:rPr>
                <w:t>nkr@bmj.bund.de</w:t>
              </w:r>
            </w:hyperlink>
            <w:r w:rsidR="00AD46D5">
              <w:rPr/>
              <w:t>. Der NKR prüft die methodische und inhaltliche Nachvollziehbarkeit. Bei Fragen wird der NKR auf Sie zukommen. Das Ziel ist eine digital- und praxistaugliche Umsetzung.</w:t>
            </w:r>
          </w:p>
          <w:p w:rsidRPr="00AD46D5" w:rsidR="00AD46D5" w:rsidP="00B30ECA" w:rsidRDefault="00AD46D5" w14:paraId="5F4D2286" w14:noSpellErr="1" w14:textId="0693A751">
            <w:pPr>
              <w:pStyle w:val="ListParagraph"/>
              <w:numPr>
                <w:ilvl w:val="1"/>
                <w:numId w:val="11"/>
              </w:numPr>
              <w:rPr/>
            </w:pPr>
            <w:r w:rsidR="00AD46D5">
              <w:rPr/>
              <w:t xml:space="preserve">Bei </w:t>
            </w:r>
            <w:r w:rsidRPr="27551155" w:rsidR="00AD46D5">
              <w:rPr>
                <w:b w:val="1"/>
                <w:bCs w:val="1"/>
              </w:rPr>
              <w:t>Interoperabilitätsbezug</w:t>
            </w:r>
            <w:r w:rsidR="00AD46D5">
              <w:rPr/>
              <w:t xml:space="preserve"> senden Sie eine Kopie der E-Mail mit der Dokumentation an </w:t>
            </w:r>
            <w:hyperlink r:id="R4292cd7e6d7e4593">
              <w:r w:rsidRPr="27551155" w:rsidR="00AD46D5">
                <w:rPr>
                  <w:rStyle w:val="Hyperlink"/>
                </w:rPr>
                <w:t>interoperabel@digitalservice.bund.de</w:t>
              </w:r>
            </w:hyperlink>
            <w:r w:rsidR="00AD46D5">
              <w:rPr/>
              <w:t>.</w:t>
            </w:r>
          </w:p>
          <w:p w:rsidR="00AD46D5" w:rsidP="00B30ECA" w:rsidRDefault="00AD46D5" w14:paraId="47E1FA09" w14:textId="76C996BB">
            <w:pPr>
              <w:pStyle w:val="ListParagraph"/>
              <w:numPr>
                <w:ilvl w:val="1"/>
                <w:numId w:val="11"/>
              </w:numPr>
            </w:pPr>
            <w:r w:rsidRPr="00AD46D5">
              <w:rPr>
                <w:b/>
                <w:bCs/>
              </w:rPr>
              <w:t>Visualisierungen</w:t>
            </w:r>
            <w:r w:rsidRPr="00AD46D5">
              <w:t xml:space="preserve"> und Skizzen sind vom NKR gern gesehen. Hängen Sie diese formlos als PDF oder als Screenshot an.</w:t>
            </w:r>
          </w:p>
        </w:tc>
        <w:tc>
          <w:tcPr>
            <w:tcW w:w="3757" w:type="dxa"/>
            <w:tcBorders>
              <w:left w:val="nil"/>
            </w:tcBorders>
            <w:shd w:val="clear" w:color="auto" w:fill="FFF9D2"/>
            <w:tcMar>
              <w:left w:w="284" w:type="dxa"/>
            </w:tcMar>
          </w:tcPr>
          <w:p w:rsidR="00AD46D5" w:rsidP="008453F4" w:rsidRDefault="00AD46D5" w14:paraId="0F4914F4" w14:textId="30253119">
            <w:pPr>
              <w:pStyle w:val="Heading2"/>
              <w:spacing w:line="276" w:lineRule="auto"/>
            </w:pPr>
            <w:r>
              <w:t>Tipps</w:t>
            </w:r>
          </w:p>
          <w:p w:rsidRPr="00BE6DBB" w:rsidR="00B30ECA" w:rsidP="008453F4" w:rsidRDefault="00AD46D5" w14:paraId="08C373C4" w14:textId="77777777">
            <w:pPr>
              <w:pStyle w:val="Fett1"/>
              <w:spacing w:after="0" w:line="276" w:lineRule="auto"/>
              <w:rPr>
                <w:sz w:val="16"/>
                <w:szCs w:val="16"/>
              </w:rPr>
            </w:pPr>
            <w:r w:rsidRPr="00BE6DBB">
              <w:rPr>
                <w:sz w:val="16"/>
                <w:szCs w:val="16"/>
              </w:rPr>
              <w:t>Füllen Sie eine Dokumentation für alle inhaltlich zusammenhängenden Regelungen eines Vorhabens aus.</w:t>
            </w:r>
          </w:p>
          <w:p w:rsidRPr="00BE6DBB" w:rsidR="00AD46D5" w:rsidP="008453F4" w:rsidRDefault="00AD46D5" w14:paraId="05D68786" w14:textId="015285E0">
            <w:pPr>
              <w:spacing w:line="276" w:lineRule="auto"/>
              <w:rPr>
                <w:sz w:val="16"/>
                <w:szCs w:val="16"/>
              </w:rPr>
            </w:pPr>
            <w:r w:rsidRPr="27551155" w:rsidR="00AD46D5">
              <w:rPr>
                <w:sz w:val="16"/>
                <w:szCs w:val="16"/>
              </w:rPr>
              <w:t>Damit sparen Sie sich Zeit</w:t>
            </w:r>
            <w:r w:rsidRPr="27551155" w:rsidR="67ECBCCF">
              <w:rPr>
                <w:sz w:val="16"/>
                <w:szCs w:val="16"/>
              </w:rPr>
              <w:t>,</w:t>
            </w:r>
            <w:r w:rsidRPr="27551155" w:rsidR="00AD46D5">
              <w:rPr>
                <w:sz w:val="16"/>
                <w:szCs w:val="16"/>
              </w:rPr>
              <w:t xml:space="preserve"> und der NKR kann Zusammenhänge besser erkennen.</w:t>
            </w:r>
          </w:p>
          <w:p w:rsidRPr="00BE6DBB" w:rsidR="00B30ECA" w:rsidP="008453F4" w:rsidRDefault="00AD46D5" w14:paraId="4614BBA5" w14:textId="246F7752">
            <w:pPr>
              <w:pStyle w:val="Fett1"/>
              <w:spacing w:after="0" w:line="276" w:lineRule="auto"/>
              <w:rPr>
                <w:sz w:val="16"/>
                <w:szCs w:val="16"/>
              </w:rPr>
            </w:pPr>
            <w:r w:rsidRPr="00BE6DBB">
              <w:rPr>
                <w:sz w:val="16"/>
                <w:szCs w:val="16"/>
              </w:rPr>
              <w:t>Holen Sie sich eine zweite Meinung ein</w:t>
            </w:r>
            <w:r w:rsidRPr="00BE6DBB" w:rsidR="00B30ECA">
              <w:rPr>
                <w:sz w:val="16"/>
                <w:szCs w:val="16"/>
              </w:rPr>
              <w:t>.</w:t>
            </w:r>
          </w:p>
          <w:p w:rsidRPr="00BE6DBB" w:rsidR="00AD46D5" w:rsidP="008453F4" w:rsidRDefault="008453F4" w14:paraId="58C3E494" w14:textId="36397699">
            <w:pPr>
              <w:spacing w:line="276" w:lineRule="auto"/>
              <w:rPr>
                <w:sz w:val="16"/>
                <w:szCs w:val="16"/>
              </w:rPr>
            </w:pPr>
            <w:r>
              <w:rPr>
                <w:sz w:val="16"/>
                <w:szCs w:val="16"/>
              </w:rPr>
              <w:t>Senden</w:t>
            </w:r>
            <w:r w:rsidRPr="00BE6DBB" w:rsidR="00AD46D5">
              <w:rPr>
                <w:sz w:val="16"/>
                <w:szCs w:val="16"/>
              </w:rPr>
              <w:t xml:space="preserve"> Sie</w:t>
            </w:r>
            <w:r>
              <w:rPr>
                <w:sz w:val="16"/>
                <w:szCs w:val="16"/>
              </w:rPr>
              <w:t xml:space="preserve"> </w:t>
            </w:r>
            <w:r w:rsidRPr="00BE6DBB">
              <w:rPr>
                <w:sz w:val="16"/>
                <w:szCs w:val="16"/>
              </w:rPr>
              <w:t>das fertige Dokument oder einen Zwischenstand</w:t>
            </w:r>
            <w:r w:rsidRPr="00BE6DBB" w:rsidR="00AD46D5">
              <w:rPr>
                <w:sz w:val="16"/>
                <w:szCs w:val="16"/>
              </w:rPr>
              <w:t xml:space="preserve"> an eine Kollegin oder einen Kollegen.</w:t>
            </w:r>
          </w:p>
          <w:p w:rsidRPr="00BE6DBB" w:rsidR="00B30ECA" w:rsidP="008453F4" w:rsidRDefault="00AD46D5" w14:paraId="5CC31A7B" w14:textId="77777777">
            <w:pPr>
              <w:pStyle w:val="Fett1"/>
              <w:spacing w:after="0" w:line="276" w:lineRule="auto"/>
              <w:rPr>
                <w:sz w:val="16"/>
                <w:szCs w:val="16"/>
              </w:rPr>
            </w:pPr>
            <w:r w:rsidRPr="00BE6DBB">
              <w:rPr>
                <w:sz w:val="16"/>
                <w:szCs w:val="16"/>
              </w:rPr>
              <w:t>Nehmen Sie Ihre Visualisierung als Grundlage</w:t>
            </w:r>
          </w:p>
          <w:p w:rsidRPr="00B30ECA" w:rsidR="00AD46D5" w:rsidP="008453F4" w:rsidRDefault="00AD46D5" w14:paraId="03153F4D" w14:textId="58129AA2">
            <w:pPr>
              <w:spacing w:line="276" w:lineRule="auto"/>
            </w:pPr>
            <w:r w:rsidRPr="00BE6DBB">
              <w:rPr>
                <w:sz w:val="16"/>
                <w:szCs w:val="16"/>
              </w:rPr>
              <w:t>Wenn Sie in Ihrer Visualisierung die Fünf Prinzipien bereits angewendet haben, können Sie diese Punkte als Ausgangslage für die Beantwortung der Fragen nutzen.</w:t>
            </w:r>
            <w:r w:rsidRPr="00BE6DBB">
              <w:rPr>
                <w:sz w:val="16"/>
                <w:szCs w:val="16"/>
              </w:rPr>
              <w:br/>
            </w:r>
            <w:r w:rsidRPr="00BE6DBB">
              <w:rPr>
                <w:sz w:val="16"/>
                <w:szCs w:val="16"/>
              </w:rPr>
              <w:t>Senden Sie die Visualisierung zum Schluss mit an den NKR.</w:t>
            </w:r>
          </w:p>
        </w:tc>
      </w:tr>
    </w:tbl>
    <w:p w:rsidR="22A5A959" w:rsidP="22A5A959" w:rsidRDefault="22A5A959" w14:paraId="5F92CA51" w14:textId="4892D416">
      <w:pPr>
        <w:pStyle w:val="Normal"/>
        <w:pBdr>
          <w:bottom w:val="single" w:color="000000" w:sz="6" w:space="1"/>
        </w:pBdr>
        <w:spacing w:before="480" w:beforeAutospacing="off"/>
        <w:rPr>
          <w:highlight w:val="green"/>
        </w:rPr>
      </w:pPr>
    </w:p>
    <w:p w:rsidRPr="00BE6DBB" w:rsidR="00435A87" w:rsidP="22A5A959" w:rsidRDefault="00DE01E0" w14:paraId="715D1CBB" w14:textId="3AFE01D8" w14:noSpellErr="1">
      <w:pPr>
        <w:pStyle w:val="Heading1"/>
        <w:spacing w:before="720" w:beforeAutospacing="off"/>
      </w:pPr>
      <w:r w:rsidR="2F6AD5A5">
        <w:rPr/>
        <w:t xml:space="preserve">1. </w:t>
      </w:r>
      <w:r w:rsidR="7BFAF36F">
        <w:rPr/>
        <w:t>Tragen Sie den Titel Ihres Regelungsvorhaben ein</w:t>
      </w:r>
    </w:p>
    <w:p w:rsidR="335639C7" w:rsidP="335639C7" w:rsidRDefault="335639C7" w14:paraId="2644E124" w14:noSpellErr="1" w14:textId="50CEFE2C">
      <w:pPr>
        <w:pStyle w:val="Textbox"/>
      </w:pPr>
      <w:r w:rsidR="3FE68857">
        <w:rPr/>
        <w:t xml:space="preserve"/>
      </w:r>
      <w:r>
        <w:rPr/>
        <w:t xml:space="preserve">Hier ausfüllen</w:t>
      </w:r>
      <w:r w:rsidR="3FE68857">
        <w:rPr/>
        <w:t xml:space="preserve"/>
      </w:r>
      <w:r w:rsidR="0A241B79">
        <w:rPr/>
        <w:t/>
      </w:r>
      <w:r w:rsidR="3FE68857">
        <w:rPr/>
        <w:t xml:space="preserve"/>
      </w:r>
    </w:p>
    <w:p w:rsidR="00303870" w:rsidP="335639C7" w:rsidRDefault="7525331C" w14:paraId="22F6108D" w14:textId="64AD9705">
      <w:pPr>
        <w:pStyle w:val="Heading1"/>
        <w:spacing w:before="600"/>
      </w:pPr>
      <w:r>
        <w:t xml:space="preserve">2. </w:t>
      </w:r>
      <w:r w:rsidR="3EB7443B">
        <w:t>Auswirkungen auf Betroffene und an der Umsetzung Beteiligte</w:t>
      </w:r>
    </w:p>
    <w:p w:rsidR="3EB7443B" w:rsidP="335639C7" w:rsidRDefault="3EB7443B" w14:paraId="2DF254DA" w14:textId="7CB9D10F">
      <w:pPr>
        <w:keepNext/>
        <w:rPr>
          <w:color w:val="595959" w:themeColor="text1" w:themeTint="A6"/>
          <w:sz w:val="32"/>
          <w:szCs w:val="32"/>
        </w:rPr>
      </w:pPr>
      <w:r w:rsidRPr="011E39D5">
        <w:rPr>
          <w:color w:val="595959" w:themeColor="text1" w:themeTint="A6"/>
        </w:rPr>
        <w:t>Ihr Regelungsvorhaben sollte sowohl den Bedürfnissen der Betroffenen als auch den Anforderungen der Umsetzung (z. B. in Behörden) gerecht werden.</w:t>
      </w:r>
    </w:p>
    <w:p w:rsidRPr="00BE6DBB" w:rsidR="008B5A93" w:rsidP="00BE6DBB" w:rsidRDefault="00DE01E0" w14:paraId="0FB5A5D6" w14:textId="06F93F17">
      <w:pPr>
        <w:pStyle w:val="Heading2"/>
      </w:pPr>
      <w:r w:rsidRPr="00BE6DBB">
        <w:t>Entspricht die Umsetzung des Regelungsvorhabens den Bedürfnissen der Betroffenen? Wie haben Sie das überprüft?</w:t>
      </w:r>
    </w:p>
    <w:p w:rsidR="008B5A93" w:rsidP="00C050A0" w:rsidRDefault="008B5A93" w14:paraId="46A7AEBA" w14:noSpellErr="1" w14:textId="39DF0CCE">
      <w:pPr>
        <w:pStyle w:val="Textbox"/>
      </w:pPr>
      <w:r w:rsidR="1CC49441">
        <w:rPr/>
        <w:t xml:space="preserve"/>
      </w:r>
      <w:r>
        <w:rPr/>
        <w:t xml:space="preserve">Hier ausfüllen</w:t>
      </w:r>
      <w:r w:rsidR="1CC49441">
        <w:rPr/>
        <w:t xml:space="preserve"/>
      </w:r>
      <w:r w:rsidR="319E947E">
        <w:rPr/>
        <w:t/>
      </w:r>
      <w:r w:rsidR="1CC49441">
        <w:rPr/>
        <w:t xml:space="preserve"/>
      </w:r>
    </w:p>
    <w:p w:rsidR="008B5A93" w:rsidP="00BE6DBB" w:rsidRDefault="00DE01E0" w14:paraId="29E6E0F3" w14:textId="77777777">
      <w:pPr>
        <w:pStyle w:val="Heading2"/>
      </w:pPr>
      <w:r>
        <w:t>Wie spiegeln sich die Erkenntnisse, die durch die oben genannten Schritte gewonnen wurde, im Regelungsvorhaben wider?</w:t>
      </w:r>
    </w:p>
    <w:p w:rsidR="008B5A93" w:rsidP="00C050A0" w:rsidRDefault="008B5A93" w14:paraId="195099C7" w14:noSpellErr="1" w14:textId="5BD10681">
      <w:pPr>
        <w:pStyle w:val="Textbox"/>
      </w:pPr>
      <w:r w:rsidR="6E1FBE1E">
        <w:rPr/>
        <w:t xml:space="preserve"/>
      </w:r>
      <w:r>
        <w:rPr/>
        <w:t xml:space="preserve">Hier ausfüllen</w:t>
      </w:r>
      <w:r w:rsidR="6E1FBE1E">
        <w:rPr/>
        <w:t xml:space="preserve"/>
      </w:r>
      <w:r w:rsidR="2DD7F88C">
        <w:rPr/>
        <w:t/>
      </w:r>
      <w:r w:rsidR="6E1FBE1E">
        <w:rPr/>
        <w:t xml:space="preserve"/>
      </w:r>
    </w:p>
    <w:p>
      <w:pPr>
        <w:pStyle w:val="Heading1"/>
      </w:pPr>
      <w:bookmarkStart w:name="digitale-angebote-f-r-alle-nutzbar-gestalten" w:id="1"/>
      <w:r>
        <w:t xml:space="preserve">Digitale Angebote für alle nutzbar gestalten</w:t>
      </w:r>
      <w:bookmarkEnd w:id="1"/>
    </w:p>
    <w:p>
      <w:r>
        <w:t xml:space="preserve">Viele Bürgerinnen, Bürger und Unternehmen sind an digitale Angebote gewöhnt und bevorzugen diese – sofern die digitale Kommunikation gut umgesetzt ist und ihren Bedürfnissen entspricht. Die Verwaltung kann digitale Daten schneller prüfen, bearbeiten und dokumentieren. Das Angebot sollte dabei immer inklusiv sein und es benötigt gegebenenfalls analoge Alternativen.</w:t>
      </w:r>
    </w:p>
    <w:p w:rsidR="008B5A93" w:rsidP="00BE6DBB" w:rsidRDefault="00DE01E0" w14:paraId="3A8EA434" w14:textId="77777777">
      <w:pPr>
        <w:pStyle w:val="Heading2"/>
      </w:pPr>
      <w:r w:rsidRPr="00C7312D">
        <w:t>Lässt sich das Vorhaben im Sinne des Prinzips umsetzen?</w:t>
      </w:r>
    </w:p>
    <w:p w:rsidR="00C7312D" w:rsidP="335639C7" w:rsidRDefault="2C2B3684" w14:paraId="7FD09C75" w14:textId="589BC7CB">
      <w:pPr>
        <w:pStyle w:val="ErklrungMarkierung"/>
      </w:pPr>
      <w:r w:rsidR="415738FB">
        <w:rPr/>
        <w:t>Löschen Sie raus, was nicht zutrifft:</w:t>
      </w:r>
    </w:p>
    <w:p w:rsidR="074132F7" w:rsidP="0BB6A2AF" w:rsidRDefault="074132F7" w14:paraId="223DFFB4" w14:textId="37FFFD15">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074132F7">
        <w:rPr/>
        <w:t xml:space="preserve"/>
      </w:r>
      <w:r>
        <w:rPr/>
        <w:t xml:space="preserve">Ja, gänzlich oder teilweise | Nein | Nicht relevant</w:t>
      </w:r>
      <w:r w:rsidR="074132F7">
        <w:rPr/>
        <w:t xml:space="preserve"/>
      </w:r>
      <w:r w:rsidR="0ABE1273">
        <w:rPr/>
        <w:t/>
      </w:r>
      <w:r w:rsidR="074132F7">
        <w:rPr/>
        <w:t xml:space="preserve"/>
      </w:r>
    </w:p>
    <w:p w:rsidR="00833A74" w:rsidP="011E39D5" w:rsidRDefault="45C5BF82" w14:paraId="58D6C909" w14:textId="70CA71D6">
      <w:pPr>
        <w:pStyle w:val="ErklrungMarkierung"/>
        <w:spacing w:before="400"/>
        <w:ind w:left="708"/>
      </w:pPr>
      <w:r>
        <w:t xml:space="preserve">Bei </w:t>
      </w:r>
      <w:r w:rsidRPr="011E39D5">
        <w:rPr>
          <w:b/>
          <w:bCs/>
        </w:rPr>
        <w:t>„Nein“</w:t>
      </w:r>
      <w:r>
        <w:t xml:space="preserve"> oder </w:t>
      </w:r>
      <w:r w:rsidRPr="011E39D5">
        <w:rPr>
          <w:b/>
          <w:bCs/>
        </w:rPr>
        <w:t>„Nicht relevant“</w:t>
      </w:r>
      <w:r>
        <w:t xml:space="preserve"> </w:t>
      </w:r>
      <w:r w:rsidR="7525331C">
        <w:t>begründen Sie die Entscheidung und machen</w:t>
      </w:r>
      <w:r>
        <w:t xml:space="preserve"> Sie </w:t>
      </w:r>
      <w:r w:rsidR="7525331C">
        <w:t>bei</w:t>
      </w:r>
      <w:r>
        <w:t xml:space="preserve"> Punkt</w:t>
      </w:r>
      <w:r w:rsidR="7525331C">
        <w:t xml:space="preserve"> 4</w:t>
      </w:r>
      <w:r>
        <w:t xml:space="preserve"> weiter.</w:t>
      </w:r>
    </w:p>
    <w:p w:rsidRPr="00DE01E0" w:rsidR="00DE01E0" w:rsidP="335639C7" w:rsidRDefault="7525331C" w14:paraId="7B3D00B3" w14:textId="31EB2D3A">
      <w:pPr>
        <w:pStyle w:val="TextboxLabel"/>
      </w:pPr>
      <w:r>
        <w:t>Begründung für „Nein“ oder „Nicht relevant“</w:t>
      </w:r>
    </w:p>
    <w:p w:rsidRPr="00833A74" w:rsidR="00B72C5A" w:rsidP="335639C7" w:rsidRDefault="4D0C4CB0" w14:paraId="10629318" w14:noSpellErr="1" w14:textId="06B873F6">
      <w:pPr>
        <w:pStyle w:val="Textbox"/>
        <w:ind w:left="708"/>
      </w:pPr>
      <w:r w:rsidR="03B3AD0C">
        <w:rPr/>
        <w:t xml:space="preserve"> </w:t>
      </w:r>
      <w:r w:rsidR="13031369">
        <w:rPr/>
        <w:t xml:space="preserve"/>
      </w:r>
      <w:r>
        <w:rPr/>
        <w:t xml:space="preserve">Hier ausfüllen (falls relevant)</w:t>
      </w:r>
      <w:r w:rsidR="13031369">
        <w:rPr/>
        <w:t xml:space="preserve"/>
      </w:r>
      <w:r w:rsidR="179C91A3">
        <w:rPr/>
        <w:t/>
      </w:r>
      <w:r w:rsidR="13031369">
        <w:rPr/>
        <w:t/>
      </w:r>
      <w:r w:rsidR="636FB554">
        <w:rPr/>
        <w:t/>
      </w:r>
      <w:r w:rsidR="13031369">
        <w:rPr/>
        <w:t xml:space="preserve"/>
      </w:r>
    </w:p>
    <w:p w:rsidR="0532EC15" w:rsidP="011E39D5" w:rsidRDefault="1A698A39" w14:paraId="0FBB47F2" w14:textId="573CFC64">
      <w:pPr>
        <w:pStyle w:val="ErklrungMarkierung"/>
        <w:spacing w:before="400"/>
        <w:ind w:left="708"/>
      </w:pPr>
      <w:r w:rsidR="531755EF">
        <w:rPr/>
        <w:t xml:space="preserve">Nur, wenn Sie </w:t>
      </w:r>
      <w:r w:rsidRPr="4E8296B2" w:rsidR="1DE20EFD">
        <w:rPr>
          <w:b w:val="1"/>
          <w:bCs w:val="1"/>
        </w:rPr>
        <w:t>„</w:t>
      </w:r>
      <w:r w:rsidRPr="4E8296B2" w:rsidR="531755EF">
        <w:rPr>
          <w:b w:val="1"/>
          <w:bCs w:val="1"/>
        </w:rPr>
        <w:t>Ja (gänzlich oder teilweise)</w:t>
      </w:r>
      <w:r w:rsidRPr="4E8296B2" w:rsidR="1DE20EFD">
        <w:rPr>
          <w:b w:val="1"/>
          <w:bCs w:val="1"/>
        </w:rPr>
        <w:t>“</w:t>
      </w:r>
      <w:r w:rsidR="531755EF">
        <w:rPr/>
        <w:t xml:space="preserve"> gewählt haben: </w:t>
      </w:r>
    </w:p>
    <w:p w:rsidR="1038226C" w:rsidP="4E8296B2" w:rsidRDefault="1038226C" w14:paraId="69C3281C" w14:textId="6C0DE08A">
      <w:pPr>
        <w:pStyle w:val="ErklrungMarkierung"/>
        <w:spacing w:before="0"/>
        <w:ind w:left="708"/>
      </w:pPr>
      <w:r w:rsidR="1038226C">
        <w:rPr/>
        <w:t xml:space="preserve">Unter </w:t>
      </w:r>
      <w:r w:rsidRPr="4E8296B2" w:rsidR="1038226C">
        <w:rPr>
          <w:b w:val="1"/>
          <w:bCs w:val="1"/>
        </w:rPr>
        <w:t>„Erläuterung“</w:t>
      </w:r>
      <w:r w:rsidR="1038226C">
        <w:rPr/>
        <w:t xml:space="preserve"> tragen Sie bitte 2–3 Stichpunkte mit Verweis auf die relevanten Paragrafen oder Regelungen ein.</w:t>
      </w:r>
      <w:r>
        <w:br/>
      </w:r>
      <w:r w:rsidR="1038226C">
        <w:rPr/>
        <w:t xml:space="preserve">Geben Sie mindestens eine Erläuterung zur Anwendung des Prinzips an und wählen Sie dabei passende Schwerpunkte aus. Wenn keine Schwerpunkte zutreffen, dann nutzen Sie das untenstehende Eingabefeld </w:t>
      </w:r>
      <w:r w:rsidRPr="4E8296B2" w:rsidR="1038226C">
        <w:rPr>
          <w:b w:val="1"/>
          <w:bCs w:val="1"/>
        </w:rPr>
        <w:t>„Eigener Punkt“</w:t>
      </w:r>
      <w:r w:rsidR="1038226C">
        <w:rPr/>
        <w:t>.</w:t>
      </w:r>
    </w:p>
    <w:p>
      <w:pPr>
        <w:pStyle w:val="Heading2"/>
        <w:ind w:left="720"/>
      </w:pPr>
      <w:bookmarkStart w:name="erm-glichen-sie-digitale-kommunikation" w:id="1"/>
      <w:r>
        <w:t xml:space="preserve">Ermöglichen Sie digitale Kommunikation</w:t>
      </w:r>
      <w:bookmarkEnd w:id="1"/>
    </w:p>
    <w:p>
      <w:pPr>
        <w:ind w:left="720"/>
      </w:pPr>
      <w:r>
        <w:t xml:space="preserve">Bürgerinnen, Bürger und Unternehmen sind digitale Angebote gewöhnt. Nutzerfreundliche, niedrigschwellige Dienste erfüllen ihre Erwartungen und machen ihnen das Leben leichter. Denken Sie auch an Bürgerinnen und Bürger, die keine digitalen Angebote nutzen können oder wollen. Richten Sie Alternativen ein. Für Unternehmen kann digitale Kommunikation vorgeschrieben werden.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formulieren-sie-die-regelung-technologieoffen" w:id="1"/>
      <w:r>
        <w:t xml:space="preserve">Formulieren Sie die Regelung technologieoffen</w:t>
      </w:r>
      <w:bookmarkEnd w:id="1"/>
    </w:p>
    <w:p>
      <w:pPr>
        <w:ind w:left="720"/>
      </w:pPr>
      <w:r>
        <w:t xml:space="preserve">Wenn Sie Übertragungswege – wie DE-Mail oder PDF – festlegen, riskieren Sie, dass Ihre Regelung bald nicht mehr dem Stand der Technik entspricht. Andererseits kann die Nutzung etablierter Basisdienste die Umsetzung erleichtern und die Anwendung für Nutzende vereinfachen – im Sinne des Prinzips „</w:t>
      </w:r>
      <w:hyperlink w:history="1" w:anchor="etablierte-technologien-erm-glichen-effiziente-umsetzung">
        <w:r>
          <w:rPr>
            <w:rStyle w:val="Hyperlink"/>
          </w:rPr>
          <w:t xml:space="preserve">Etablierte Technologien ermöglichen effiziente Umsetzung</w:t>
        </w:r>
      </w:hyperlink>
      <w:r>
        <w:t xml:space="preserve">“. Ob das sinnvoll ist, hängt vom konkreten Einzelfall ab.</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an-antragsstellung-bearbeitung-und-bescheid" w:id="1"/>
      <w:r>
        <w:t xml:space="preserve">Denken Sie an Antragsstellung, Bearbeitung und Bescheid</w:t>
      </w:r>
      <w:bookmarkEnd w:id="1"/>
    </w:p>
    <w:p>
      <w:pPr>
        <w:ind w:left="720"/>
      </w:pPr>
      <w:r>
        <w:t xml:space="preserve">Digitale Angebote erzeugen Daten, die direkt digital weiterverarbeitet werden können. Das spart Zeit, weil Informationen nicht eingescannt oder abgetippt werden müssen. Digitale Oberflächen, die für Nutzende zusätzliche Hilfestellungen und Kontrollen enthalten, erhöhen die Qualität der Daten. Sogenannte Plausibilitätsprüfungen kontrollieren zum Beispiel, ob Ort und Postleitzahl zusammenpassen oder ob ein angegebener Zeitraum antragsberechtigt ist.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denken-sie-barrierefreiheit-von-anfang-an-mit" w:id="1"/>
      <w:r>
        <w:t xml:space="preserve">Denken Sie Barrierefreiheit von Anfang an mit</w:t>
      </w:r>
      <w:bookmarkEnd w:id="1"/>
    </w:p>
    <w:p>
      <w:pPr>
        <w:ind w:left="720"/>
      </w:pPr>
      <w:r>
        <w:t xml:space="preserve">Digitale Angebote müssen nach </w:t>
      </w:r>
      <w:hyperlink w:history="1" r:id="rIddnijgxjcgemx3r_n8udkt">
        <w:r>
          <w:rPr>
            <w:rStyle w:val="Hyperlink"/>
          </w:rPr>
          <w:t xml:space="preserve">§ 12 a Behindertengleichstellungsgesetz</w:t>
        </w:r>
      </w:hyperlink>
      <w:r>
        <w:t xml:space="preserve"> barrierefrei sein. Barrierefrei bedeutet, dass Menschen mit und ohne Behinderung das Angebot in gleicher Weise nutzen können. Da es viele unterschiedliche Arten von Behinderungen gibt, müssen viele Aspekte beachtet werden. Etwa die Aufbereitung für blinde und sehbehinderte Menschen oder Angebote in deutscher Gebärdensprache oder leichter Sprache.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tellen-sie-eine-nutzerfreundliche-umsetzung-sicher" w:id="1"/>
      <w:r>
        <w:t xml:space="preserve">Stellen Sie eine nutzerfreundliche Umsetzung sicher</w:t>
      </w:r>
      <w:bookmarkEnd w:id="1"/>
    </w:p>
    <w:p>
      <w:pPr>
        <w:ind w:left="720"/>
      </w:pPr>
      <w:r>
        <w:t xml:space="preserve">Barrierearme Angebote sind oft auch nutzerfreundlicher. Darüber hinaus macht eine nutzerzentrierte Entwicklung, die z. B. in kleinen Schritten agiert und Texte in einfacher Sprache oder mehrsprachig gestaltet, ihr Angebot zugänglicher.</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wiederverwendung-ben-tigt-einheitliches-recht" w:id="1"/>
      <w:r>
        <w:t xml:space="preserve">Datenwiederverwendung benötigt einheitliches Recht</w:t>
      </w:r>
      <w:bookmarkEnd w:id="1"/>
    </w:p>
    <w:p>
      <w:r>
        <w:t xml:space="preserve">Normadressatinnen und -adressaten sowie umsetzende Behörden sparen Kosten und Zeit, wenn das </w:t>
      </w:r>
      <w:hyperlink w:history="1" r:id="rIdmyxrv1yl1dumqeedkyokz">
        <w:r>
          <w:rPr>
            <w:rStyle w:val="Hyperlink"/>
          </w:rPr>
          <w:t xml:space="preserve">Once-Only-Prinzip</w:t>
        </w:r>
      </w:hyperlink>
      <w:r>
        <w:t xml:space="preserve"> konsequent angewendet wird – also wenn Daten nur einmal angegeben und dann wiederverwendet werden. Die Grundlage dafür sind harmonisierte Rechtsbegriffe, ein datenschutzkonformer Austausch und die Berücksichtigung etablierter technischer Standards.</w:t>
      </w:r>
    </w:p>
    <w:p w:rsidR="2DCE464F" w:rsidP="0BB6A2AF" w:rsidRDefault="2DCE464F" w14:noSpellErr="1" w14:paraId="13B4037E">
      <w:pPr>
        <w:pStyle w:val="Heading2"/>
      </w:pPr>
      <w:r w:rsidR="2DCE464F">
        <w:rPr/>
        <w:t>Lässt sich das Vorhaben im Sinne des Prinzips umsetzen?</w:t>
      </w:r>
    </w:p>
    <w:p w:rsidR="2DCE464F" w:rsidP="0BB6A2AF" w:rsidRDefault="2DCE464F" w14:noSpellErr="1" w14:paraId="596EF563" w14:textId="589BC7CB">
      <w:pPr>
        <w:pStyle w:val="ErklrungMarkierung"/>
      </w:pPr>
      <w:r w:rsidR="2DCE464F">
        <w:rPr/>
        <w:t>Löschen Sie raus, was nicht zutrifft:</w:t>
      </w:r>
    </w:p>
    <w:p w:rsidR="2DCE464F" w:rsidP="0BB6A2AF" w:rsidRDefault="2DCE464F" w14:paraId="598A6BED" w14:textId="7376CA9F">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378798AC" w14:textId="68952890">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3EBFDE14">
        <w:rPr/>
        <w:t>5</w:t>
      </w:r>
      <w:r w:rsidR="2DCE464F">
        <w:rPr/>
        <w:t xml:space="preserve"> weiter.</w:t>
      </w:r>
    </w:p>
    <w:p w:rsidR="2DCE464F" w:rsidP="0BB6A2AF" w:rsidRDefault="2DCE464F" w14:noSpellErr="1" w14:paraId="63008E26" w14:textId="31EB2D3A">
      <w:pPr>
        <w:pStyle w:val="TextboxLabel"/>
      </w:pPr>
      <w:r w:rsidR="2DCE464F">
        <w:rPr/>
        <w:t>Begründung für „Nein“ oder „Nicht relevant“</w:t>
      </w:r>
    </w:p>
    <w:p w:rsidR="2DCE464F" w:rsidP="0BB6A2AF" w:rsidRDefault="2DCE464F" w14:noSpellErr="1" w14:paraId="681E0FA1" w14:textId="60512848">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524E5F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0EF7379C" w:rsidP="4E8296B2" w:rsidRDefault="0EF7379C" w14:paraId="715F0A42" w14:textId="2B2A29F2">
      <w:pPr>
        <w:pStyle w:val="ErklrungMarkierung"/>
        <w:spacing w:before="0"/>
        <w:ind w:left="708"/>
      </w:pPr>
      <w:r w:rsidR="0EF7379C">
        <w:rPr/>
        <w:t xml:space="preserve">Unter </w:t>
      </w:r>
      <w:r w:rsidRPr="4E8296B2" w:rsidR="0EF7379C">
        <w:rPr>
          <w:b w:val="1"/>
          <w:bCs w:val="1"/>
        </w:rPr>
        <w:t>„Erläuterung“</w:t>
      </w:r>
      <w:r w:rsidR="0EF7379C">
        <w:rPr/>
        <w:t xml:space="preserve"> tragen Sie bitte 2–3 Stichpunkte mit Verweis auf die relevanten Paragrafen oder Regelungen ein.</w:t>
      </w:r>
      <w:r>
        <w:br/>
      </w:r>
      <w:r w:rsidR="0EF7379C">
        <w:rPr/>
        <w:t xml:space="preserve">Geben Sie mindestens eine Erläuterung zur Anwendung des Prinzips an und wählen Sie dabei passende Schwerpunkte aus. Wenn keine Schwerpunkte zutreffen, dann nutzen Sie das untenstehende Eingabefeld </w:t>
      </w:r>
      <w:r w:rsidRPr="4E8296B2" w:rsidR="0EF7379C">
        <w:rPr>
          <w:b w:val="1"/>
          <w:bCs w:val="1"/>
        </w:rPr>
        <w:t>„Eigener Punkt“</w:t>
      </w:r>
      <w:r w:rsidR="0EF7379C">
        <w:rPr/>
        <w:t>.</w:t>
      </w:r>
    </w:p>
    <w:p>
      <w:pPr>
        <w:pStyle w:val="Heading2"/>
        <w:ind w:left="720"/>
      </w:pPr>
      <w:bookmarkStart w:name="nutzen-sie-harmonisierte-rechtsbegriffe" w:id="1"/>
      <w:r>
        <w:t xml:space="preserve">Nutzen Sie harmonisierte Rechtsbegriffe</w:t>
      </w:r>
      <w:bookmarkEnd w:id="1"/>
    </w:p>
    <w:p>
      <w:pPr>
        <w:ind w:left="720"/>
      </w:pPr>
      <w:r>
        <w:t xml:space="preserve">Um wiederverwendet zu werden, müssen Daten die gleiche inhaltliche Bedeutung haben, d. h. semantisch interoperabel sein. Dafür müssen die Rechtsbegriffe einheitlich definiert und verwendet werden. Hilfreich für die Umsetzung sind Taxonomien, kontrollierte Vokabulare oder Codelisten.</w:t>
      </w:r>
    </w:p>
    <w:p>
      <w:pPr>
        <w:ind w:left="720"/>
      </w:pPr>
      <w:r>
        <w:t xml:space="preserve">Es kann nötig sein, Begriffe über Ihren Rechtsbereich hinaus zu harmonisieren, um bestehende Daten zu verwenden. Ist dies nicht möglich, können Sie die Informationen möglicherweise aus verschiedenen Datenpunkten zusammensetzen, etwa das Einkommen aus Gehalt und weiteren Einnahmen.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existierende-daten" w:id="1"/>
      <w:r>
        <w:t xml:space="preserve">Nutzen Sie existierende Daten</w:t>
      </w:r>
      <w:bookmarkEnd w:id="1"/>
    </w:p>
    <w:p>
      <w:pPr>
        <w:ind w:left="720"/>
      </w:pPr>
      <w:r>
        <w:t xml:space="preserve">Überprüfen Sie, ob Daten schon an anderer Stelle zur Verfügung stehen und genutzt werden können. Optimalerweise wird auf die Originaldaten zugegriffen, statt diese zu kopieren. Für einen Datenaustausch zwischen Behörden müssen Sie dann eine geeignete Rechtsgrundlage schaffen.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machen-sie-erhobene-daten-f-r-andere-nutzbar" w:id="1"/>
      <w:r>
        <w:t xml:space="preserve">Machen Sie erhobene Daten für andere nutzbar</w:t>
      </w:r>
      <w:bookmarkEnd w:id="1"/>
    </w:p>
    <w:p>
      <w:pPr>
        <w:ind w:left="720"/>
      </w:pPr>
      <w:r>
        <w:t xml:space="preserve">Müssen neue Daten erhoben werden, sollten Sie eine Nachnutzung dieser Daten ermöglichen.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bestehende-technische-standards" w:id="1"/>
      <w:r>
        <w:t xml:space="preserve">Nutzen Sie bestehende technische Standards</w:t>
      </w:r>
      <w:bookmarkEnd w:id="1"/>
    </w:p>
    <w:p>
      <w:pPr>
        <w:ind w:left="720"/>
      </w:pPr>
      <w:r>
        <w:t xml:space="preserve">Nutzen Sie geeignete technische Standards, wie z. B. Datenaustauschformate, um den Austausch zwischen IT-Systemen zu begünstigen. Möglicherweise ist es sinnvoll, diese in der Regelung vorzuschreiben.</w:t>
      </w:r>
    </w:p>
    <w:p>
      <w:pPr>
        <w:ind w:left="720"/>
      </w:pPr>
      <w:r>
        <w:t xml:space="preserve">Informationen zu Standards der öffentlichen Verwaltung erhalten Sie bei der </w:t>
      </w:r>
      <w:hyperlink w:history="1" r:id="rIdtox9obo91x9rv8kzimo3d">
        <w:r>
          <w:rPr>
            <w:rStyle w:val="Hyperlink"/>
          </w:rPr>
          <w:t xml:space="preserve">FITKO</w:t>
        </w:r>
      </w:hyperlink>
      <w:r>
        <w:t xml:space="preserve">, auf den Seiten des </w:t>
      </w:r>
      <w:hyperlink w:history="1" r:id="rIdlvzjzaqvc3jqmngfrkz4t">
        <w:r>
          <w:rPr>
            <w:rStyle w:val="Hyperlink"/>
          </w:rPr>
          <w:t xml:space="preserve">XÖV</w:t>
        </w:r>
      </w:hyperlink>
      <w:r>
        <w:t xml:space="preserve"> mit zugehörigem </w:t>
      </w:r>
      <w:hyperlink w:history="1" r:id="rId1qrjff9mhidp0c8a3ep-t">
        <w:r>
          <w:rPr>
            <w:rStyle w:val="Hyperlink"/>
          </w:rPr>
          <w:t xml:space="preserve">XRepository</w:t>
        </w:r>
      </w:hyperlink>
      <w:r>
        <w:t xml:space="preserve"> und auf der </w:t>
      </w:r>
      <w:hyperlink w:history="1" r:id="rIdjpuwkvtapvucuihxepddi">
        <w:r>
          <w:rPr>
            <w:rStyle w:val="Hyperlink"/>
          </w:rPr>
          <w:t xml:space="preserve">Verwaltungsdaten-Informationsplattform</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uchen-sie-fr-hzeitig-den-austausch-mit-allen-beteiligten" w:id="1"/>
      <w:r>
        <w:t xml:space="preserve">Suchen Sie frühzeitig den Austausch mit allen Beteiligten</w:t>
      </w:r>
      <w:bookmarkEnd w:id="1"/>
    </w:p>
    <w:p>
      <w:pPr>
        <w:ind w:left="720"/>
      </w:pPr>
      <w:r>
        <w:t xml:space="preserve">Neben rein technischen Voraussetzungen gilt es auch zu beachten, wie sich organisatorische Aspekte auf die Umsetzung Ihres Vorhabens auswirken. Hier hilft der Austausch mit anderen Beteiligten, wie z. B. den Behörden oder IT-Beauftragten.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etablierte-technologien-erm-glichen-effiziente-umsetzung" w:id="1"/>
      <w:r>
        <w:t xml:space="preserve">Etablierte Technologien ermöglichen effiziente Umsetzung</w:t>
      </w:r>
      <w:bookmarkEnd w:id="1"/>
    </w:p>
    <w:p>
      <w:r>
        <w:t xml:space="preserve">Digitale Angebote können schneller bereitgestellt sowie günstiger entwickelt und betrieben werden, wenn sie auf bestehenden Technologien aufbauen. Offene, standardisierte Schnittstellen und Open-Source erhöhen die </w:t>
      </w:r>
      <w:hyperlink w:history="1" w:anchor="datenschutz-und-informationssicherheit-schaffen-vertrauen">
        <w:r>
          <w:rPr>
            <w:rStyle w:val="Hyperlink"/>
          </w:rPr>
          <w:t xml:space="preserve">Sicherheit der Angebote</w:t>
        </w:r>
      </w:hyperlink>
      <w:r>
        <w:t xml:space="preserve"> und fördern die Interoperabilität.</w:t>
      </w:r>
    </w:p>
    <w:p w:rsidR="2DCE464F" w:rsidP="0BB6A2AF" w:rsidRDefault="2DCE464F" w14:noSpellErr="1" w14:paraId="63AA467D">
      <w:pPr>
        <w:pStyle w:val="Heading2"/>
      </w:pPr>
      <w:r w:rsidR="2DCE464F">
        <w:rPr/>
        <w:t>Lässt sich das Vorhaben im Sinne des Prinzips umsetzen?</w:t>
      </w:r>
    </w:p>
    <w:p w:rsidR="2DCE464F" w:rsidP="0BB6A2AF" w:rsidRDefault="2DCE464F" w14:noSpellErr="1" w14:paraId="01DCC2B7" w14:textId="589BC7CB">
      <w:pPr>
        <w:pStyle w:val="ErklrungMarkierung"/>
      </w:pPr>
      <w:r w:rsidR="2DCE464F">
        <w:rPr/>
        <w:t>Löschen Sie raus, was nicht zutrifft:</w:t>
      </w:r>
    </w:p>
    <w:p w:rsidR="2DCE464F" w:rsidP="0BB6A2AF" w:rsidRDefault="2DCE464F" w14:paraId="176EDFAB" w14:textId="2F7A433E">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1FF23DF0" w14:textId="36B7AC86">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45C02A2B">
        <w:rPr/>
        <w:t>6</w:t>
      </w:r>
      <w:r w:rsidR="2DCE464F">
        <w:rPr/>
        <w:t xml:space="preserve"> weiter.</w:t>
      </w:r>
    </w:p>
    <w:p w:rsidR="2DCE464F" w:rsidP="0BB6A2AF" w:rsidRDefault="2DCE464F" w14:noSpellErr="1" w14:paraId="68695AFB" w14:textId="31EB2D3A">
      <w:pPr>
        <w:pStyle w:val="TextboxLabel"/>
      </w:pPr>
      <w:r w:rsidR="2DCE464F">
        <w:rPr/>
        <w:t>Begründung für „Nein“ oder „Nicht relevant“</w:t>
      </w:r>
    </w:p>
    <w:p w:rsidR="2DCE464F" w:rsidP="0BB6A2AF" w:rsidRDefault="2DCE464F" w14:noSpellErr="1" w14:paraId="770EE490" w14:textId="730DADDA">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3C699447"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1F340F29" w:rsidP="4E8296B2" w:rsidRDefault="1F340F29" w14:paraId="1E59A0C9" w14:textId="7DEE8DCE">
      <w:pPr>
        <w:pStyle w:val="ErklrungMarkierung"/>
        <w:spacing w:before="0"/>
        <w:ind w:left="708"/>
      </w:pPr>
      <w:r w:rsidR="1F340F29">
        <w:rPr/>
        <w:t xml:space="preserve">Unter </w:t>
      </w:r>
      <w:r w:rsidRPr="4E8296B2" w:rsidR="1F340F29">
        <w:rPr>
          <w:b w:val="1"/>
          <w:bCs w:val="1"/>
        </w:rPr>
        <w:t>„Erläuterung“</w:t>
      </w:r>
      <w:r w:rsidR="1F340F29">
        <w:rPr/>
        <w:t xml:space="preserve"> tragen Sie bitte 2–3 Stichpunkte mit Verweis auf die relevanten Paragrafen oder Regelungen ein.</w:t>
      </w:r>
      <w:r>
        <w:br/>
      </w:r>
      <w:r w:rsidR="1F340F29">
        <w:rPr/>
        <w:t xml:space="preserve">Geben Sie mindestens eine Erläuterung zur Anwendung des Prinzips an und wählen Sie dabei passende Schwerpunkte aus. Wenn keine Schwerpunkte zutreffen, dann nutzen Sie das untenstehende Eingabefeld </w:t>
      </w:r>
      <w:r w:rsidRPr="4E8296B2" w:rsidR="1F340F29">
        <w:rPr>
          <w:b w:val="1"/>
          <w:bCs w:val="1"/>
        </w:rPr>
        <w:t>„Eigener Punkt“</w:t>
      </w:r>
      <w:r w:rsidR="1F340F29">
        <w:rPr/>
        <w:t>.</w:t>
      </w:r>
    </w:p>
    <w:p>
      <w:pPr>
        <w:pStyle w:val="Heading2"/>
        <w:ind w:left="720"/>
      </w:pPr>
      <w:bookmarkStart w:name="erm-glichen-sie-die-nutzung-etablierter-ffentlicher-l-sungen" w:id="1"/>
      <w:r>
        <w:t xml:space="preserve">Ermöglichen Sie die Nutzung etablierter, öffentlicher Lösungen</w:t>
      </w:r>
      <w:bookmarkEnd w:id="1"/>
    </w:p>
    <w:p>
      <w:pPr>
        <w:ind w:left="720"/>
      </w:pPr>
      <w:r>
        <w:t xml:space="preserve">Lösungen sind u. a. öffentliche Basisdienste, Softwarearchitekturen oder Komponentenbibliotheken. </w:t>
      </w:r>
      <w:hyperlink w:history="1" r:id="rId73j-t58bk7chnfaupzgc2">
        <w:r>
          <w:rPr>
            <w:rStyle w:val="Hyperlink"/>
          </w:rPr>
          <w:t xml:space="preserve">Eine Übersicht finden Sie im Rahmen des OZG</w:t>
        </w:r>
      </w:hyperlink>
      <w:r>
        <w:t xml:space="preserve">. Die Wiederverwendung existierender Lösungen spart Zeit und verringert den Erfüllungsaufwand für Entwicklung und Betrieb. Einheitliche Systeme, wie z. B. ein nationales Postfach, sind für Nutzende oft einfacher zu bedienen und erleichtern die Zusammenarbeit zwischen Behörden.</w:t>
      </w:r>
    </w:p>
    <w:p>
      <w:pPr>
        <w:ind w:left="720"/>
      </w:pPr>
      <w:r>
        <w:t xml:space="preserve">Gestalten Sie die Regelung so, dass Sie die Nutzung dieser Lösungen ermöglichen oder sogar vorschreiben. Sollte es keine etablierte Lösung geben, formulieren Sie die Regelung technologieoffen.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evorzugen-sie-open-source-software-und-offene-spezifikationen" w:id="1"/>
      <w:r>
        <w:t xml:space="preserve">Bevorzugen Sie Open-Source-Software und offene Spezifikationen</w:t>
      </w:r>
      <w:bookmarkEnd w:id="1"/>
    </w:p>
    <w:p>
      <w:pPr>
        <w:ind w:left="720"/>
      </w:pPr>
      <w:r>
        <w:t xml:space="preserve">Open-Source bedeutet, dass der Quellcode eines IT-Systems veröffentlicht ist. Offene Spezifikationen beschreiben öffentlich, was ein IT-System genau leistet. Beide stärken Transparenz und Wiederverwendbarkeit (vgl. </w:t>
      </w:r>
      <w:hyperlink w:history="1" r:id="rIdy0e2dkzafgvgo_t0aw0vj">
        <w:r>
          <w:rPr>
            <w:rStyle w:val="Hyperlink"/>
          </w:rPr>
          <w:t xml:space="preserve">Koalitionsvertrag 18. Legislaturperiode</w:t>
        </w:r>
      </w:hyperlink>
      <w:r>
        <w:t xml:space="preserve"> oder </w:t>
      </w:r>
      <w:hyperlink w:history="1" r:id="rIdomdaq64klxcl3jbvppgqq">
        <w:r>
          <w:rPr>
            <w:rStyle w:val="Hyperlink"/>
          </w:rPr>
          <w:t xml:space="preserve">Servicestandard</w:t>
        </w:r>
      </w:hyperlink>
      <w:r>
        <w:t xml:space="preserve">). Dies ermöglicht die Nachvollziehbarkeit der technischen Lösung und verhindert die Abhängigkeit von einzelnen Software-Anbietern. Weitere Informationen erhalten Sie beim </w:t>
      </w:r>
      <w:hyperlink w:history="1" r:id="rIdzydd5ilsvglpa7_nnrpy9">
        <w:r>
          <w:rPr>
            <w:rStyle w:val="Hyperlink"/>
          </w:rPr>
          <w:t xml:space="preserve">Zentrum für digitale Souveränität</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automatisierung-basiert-auf-eindeutigen-regelungen" w:id="1"/>
      <w:r>
        <w:t xml:space="preserve">Automatisierung basiert auf eindeutigen Regelungen</w:t>
      </w:r>
      <w:bookmarkEnd w:id="1"/>
    </w:p>
    <w:p>
      <w:r>
        <w:t xml:space="preserve">Logische und verständliche Regelungen und transparente Verfahren erleichtern den Zugang zum Recht und stärken das Vertrauen in den Staat. Einfachheit und verständliche Sprache sind durch die </w:t>
      </w:r>
      <w:hyperlink w:history="1" r:id="rIdffqzsegpwtcnmdscsmgmf">
        <w:r>
          <w:rPr>
            <w:rStyle w:val="Hyperlink"/>
          </w:rPr>
          <w:t xml:space="preserve">GGO</w:t>
        </w:r>
      </w:hyperlink>
      <w:r>
        <w:t xml:space="preserve"> und das </w:t>
      </w:r>
      <w:hyperlink w:history="1" r:id="rIdsfi3li4lwky0zs5jqvfad">
        <w:r>
          <w:rPr>
            <w:rStyle w:val="Hyperlink"/>
          </w:rPr>
          <w:t xml:space="preserve">Handbuch der Rechtsförmlichkeit</w:t>
        </w:r>
      </w:hyperlink>
      <w:r>
        <w:t xml:space="preserve"> vorgeschrieben.</w:t>
      </w:r>
    </w:p>
    <w:p>
      <w:r>
        <w:t xml:space="preserve">Klarheit und Logik bilden die Grundlage für automatisierte Prozesse. Wenn Begriffe eindeutig definiert sowie Entscheidungsstrukturen bestimmt sind, können Regeln und klare Ausnahmen automatisiert werden. Das spart Zeit auf Seiten der Nutzenden und der Verwaltung. Mit diesen Ressourcen können kritischere Einzelfälle bearbeitet oder Normadressatinnen und -adressaten beraten werden.</w:t>
      </w:r>
    </w:p>
    <w:p w:rsidR="2DCE464F" w:rsidP="0BB6A2AF" w:rsidRDefault="2DCE464F" w14:noSpellErr="1" w14:paraId="3C72E019">
      <w:pPr>
        <w:pStyle w:val="Heading2"/>
      </w:pPr>
      <w:r w:rsidR="2DCE464F">
        <w:rPr/>
        <w:t>Lässt sich das Vorhaben im Sinne des Prinzips umsetzen?</w:t>
      </w:r>
    </w:p>
    <w:p w:rsidR="2DCE464F" w:rsidP="0BB6A2AF" w:rsidRDefault="2DCE464F" w14:noSpellErr="1" w14:paraId="386D658F" w14:textId="589BC7CB">
      <w:pPr>
        <w:pStyle w:val="ErklrungMarkierung"/>
      </w:pPr>
      <w:r w:rsidR="2DCE464F">
        <w:rPr/>
        <w:t>Löschen Sie raus, was nicht zutrifft:</w:t>
      </w:r>
    </w:p>
    <w:p w:rsidR="2DCE464F" w:rsidP="0BB6A2AF" w:rsidRDefault="2DCE464F" w14:paraId="73A10917" w14:textId="503FC3C3">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7C05B63F" w14:textId="46417F94">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 und machen Sie bei Punkt </w:t>
      </w:r>
      <w:r w:rsidR="5BFAFD1C">
        <w:rPr/>
        <w:t>7</w:t>
      </w:r>
      <w:r w:rsidR="2DCE464F">
        <w:rPr/>
        <w:t xml:space="preserve"> weiter.</w:t>
      </w:r>
    </w:p>
    <w:p w:rsidR="2DCE464F" w:rsidP="0BB6A2AF" w:rsidRDefault="2DCE464F" w14:noSpellErr="1" w14:paraId="09557AC2" w14:textId="31EB2D3A">
      <w:pPr>
        <w:pStyle w:val="TextboxLabel"/>
      </w:pPr>
      <w:r w:rsidR="2DCE464F">
        <w:rPr/>
        <w:t>Begründung für „Nein“ oder „Nicht relevant“</w:t>
      </w:r>
    </w:p>
    <w:p w:rsidR="2DCE464F" w:rsidP="0BB6A2AF" w:rsidRDefault="2DCE464F" w14:noSpellErr="1" w14:paraId="2A0AF853" w14:textId="17C55FB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4DC7C235"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63D96447" w:rsidP="4E8296B2" w:rsidRDefault="63D96447" w14:paraId="47B8632F" w14:textId="4D0E99D5">
      <w:pPr>
        <w:pStyle w:val="ErklrungMarkierung"/>
        <w:spacing w:before="0"/>
        <w:ind w:left="708"/>
      </w:pPr>
      <w:r w:rsidR="63D96447">
        <w:rPr/>
        <w:t xml:space="preserve">Unter </w:t>
      </w:r>
      <w:r w:rsidRPr="4E8296B2" w:rsidR="63D96447">
        <w:rPr>
          <w:b w:val="1"/>
          <w:bCs w:val="1"/>
        </w:rPr>
        <w:t>„Erläuterung“</w:t>
      </w:r>
      <w:r w:rsidR="63D96447">
        <w:rPr/>
        <w:t xml:space="preserve"> tragen Sie bitte 2–3 Stichpunkte mit Verweis auf die relevanten Paragrafen oder Regelungen ein.</w:t>
      </w:r>
      <w:r>
        <w:br/>
      </w:r>
      <w:r w:rsidR="63D96447">
        <w:rPr/>
        <w:t xml:space="preserve">Geben Sie mindestens eine Erläuterung zur Anwendung des Prinzips an und wählen Sie dabei passende Schwerpunkte aus. Wenn keine Schwerpunkte zutreffen, dann nutzen Sie das untenstehende Eingabefeld </w:t>
      </w:r>
      <w:r w:rsidRPr="4E8296B2" w:rsidR="63D96447">
        <w:rPr>
          <w:b w:val="1"/>
          <w:bCs w:val="1"/>
        </w:rPr>
        <w:t>„Eigener Punkt“</w:t>
      </w:r>
      <w:r w:rsidR="63D96447">
        <w:rPr/>
        <w:t>.</w:t>
      </w:r>
    </w:p>
    <w:p>
      <w:pPr>
        <w:pStyle w:val="Heading2"/>
        <w:ind w:left="720"/>
      </w:pPr>
      <w:bookmarkStart w:name="beachten-sie-bestehende-prozesse-und-verantwortlichkeiten" w:id="1"/>
      <w:r>
        <w:t xml:space="preserve">Beachten Sie bestehende Prozesse und Verantwortlichkeiten</w:t>
      </w:r>
      <w:bookmarkEnd w:id="1"/>
    </w:p>
    <w:p>
      <w:pPr>
        <w:ind w:left="720"/>
      </w:pPr>
      <w:r>
        <w:t xml:space="preserve">Um eine effektive Umsetzung zu gewährleisten, sollten existierende Prozesse und Verantwortlichkeiten beachtet und, wenn möglich, angeglichen werden. Dabei helfen Ihnen Visualisierungen.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b-ndeln-sie-aufgaben-im-vollzug" w:id="1"/>
      <w:r>
        <w:t xml:space="preserve">Bündeln Sie Aufgaben im Vollzug</w:t>
      </w:r>
      <w:bookmarkEnd w:id="1"/>
    </w:p>
    <w:p>
      <w:pPr>
        <w:ind w:left="720"/>
      </w:pPr>
      <w:r>
        <w:t xml:space="preserve">Vereinfachen Sie, wie die Aufgaben zwischen Bund und Ländern verteilt sind. Aufgaben oder Teilaufgaben können gebündelt werden: Sie müssen nicht mehr in jeder Kommune oder jeder Behörde individuell erfüllt werden. Gerade bei Aufgaben mit hohen Fallzahlen und hohem Standardisierungspotenzial können Automatisierung und Aufgabenneuorganisation die Vollzugsbehörden spürbar entlasten.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nutzen-sie-das-potenzial-von-automatisierung" w:id="1"/>
      <w:r>
        <w:t xml:space="preserve">Nutzen Sie das Potenzial von Automatisierung</w:t>
      </w:r>
      <w:bookmarkEnd w:id="1"/>
    </w:p>
    <w:p>
      <w:pPr>
        <w:ind w:left="720"/>
      </w:pPr>
      <w:r>
        <w:t xml:space="preserve">Automatisierung wirkt sich besonders effizienzsteigernd auf Prozesse mit großen Bearbeitungsfallzahlen aus, die als gebundene Entscheidungen geregelt werden können.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unterscheiden-sie-zwischen-genereller-regel-ausnahmen-und-ermessensspielr-umen" w:id="1"/>
      <w:r>
        <w:t xml:space="preserve">Unterscheiden Sie zwischen genereller Regel, Ausnahmen und Ermessensspielräumen</w:t>
      </w:r>
      <w:bookmarkEnd w:id="1"/>
    </w:p>
    <w:p>
      <w:pPr>
        <w:ind w:left="720"/>
      </w:pPr>
      <w:r>
        <w:t xml:space="preserve">Sachverhalte sollten durch das Zusammenspiel von Gesetzen und Verordnungen möglichst abschließend geregelt werden. Finden Sie die Balance zwischen notwendigen Ausnahmen für eine gerechte Regelung, Spielraum in der Umsetzung und klar geregelten Prozessen, die sich gut digitalisieren lassen.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schreiben-sie-einfach-eindeutig-und-widerspruchsfrei" w:id="1"/>
      <w:r>
        <w:t xml:space="preserve">Schreiben Sie einfach, eindeutig und widerspruchsfrei</w:t>
      </w:r>
      <w:bookmarkEnd w:id="1"/>
    </w:p>
    <w:p>
      <w:pPr>
        <w:ind w:left="720"/>
      </w:pPr>
      <w:r>
        <w:t xml:space="preserve">Logische Konsistenz und präzise Sprache sind notwendige Bedingungen für die Automatisierung der Umsetzung. Dass eine Regelung eindeutig formuliert ist, kann auch einen längeren Regelungstext zur Folge haben.</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1"/>
      </w:pPr>
      <w:bookmarkStart w:name="datenschutz-und-informationssicherheit-schaffen-vertrauen" w:id="1"/>
      <w:r>
        <w:t xml:space="preserve">Datenschutz und Informationssicherheit schaffen Vertrauen</w:t>
      </w:r>
      <w:bookmarkEnd w:id="1"/>
    </w:p>
    <w:p>
      <w:r>
        <w:t xml:space="preserve">Alle Menschen haben ein Recht darauf, dass ihre Daten vor unbefugten Zugriffen geschützt werden. Der Schutz personenbezogener Daten ist in der </w:t>
      </w:r>
      <w:hyperlink w:history="1" r:id="rIdvndvzu2ofkd1zz1hlvw--">
        <w:r>
          <w:rPr>
            <w:rStyle w:val="Hyperlink"/>
          </w:rPr>
          <w:t xml:space="preserve">DSGVO</w:t>
        </w:r>
      </w:hyperlink>
      <w:r>
        <w:t xml:space="preserve"> geregelt. Informationssicherheit umfasst alle Daten und wird je nach Bereich spezifiziert.</w:t>
      </w:r>
    </w:p>
    <w:p>
      <w:r>
        <w:t xml:space="preserve">Eine datenschutzkonforme Regelung erhebt nur das Minimum an Daten. Datensparsamkeit ist einfach umzusetzen und verringert den Erfüllungsaufwand. Wenn weniger Daten vorliegen, müssen auch weniger Informationen geschützt werden.</w:t>
      </w:r>
    </w:p>
    <w:p>
      <w:r>
        <w:t xml:space="preserve">Wenn Informationen den ihnen gebührenden Schutz erhalten, schafft das Vertrauen in den Staat. Die Gefahr von Missbrauch und negativen wirtschaftlichen oder sicherheitsrelevanten Konsequenzen wird verringert.</w:t>
      </w:r>
    </w:p>
    <w:p w:rsidR="2DCE464F" w:rsidP="0BB6A2AF" w:rsidRDefault="2DCE464F" w14:noSpellErr="1" w14:paraId="63D65B27">
      <w:pPr>
        <w:pStyle w:val="Heading2"/>
      </w:pPr>
      <w:r w:rsidR="2DCE464F">
        <w:rPr/>
        <w:t>Lässt sich das Vorhaben im Sinne des Prinzips umsetzen?</w:t>
      </w:r>
    </w:p>
    <w:p w:rsidR="2DCE464F" w:rsidP="0BB6A2AF" w:rsidRDefault="2DCE464F" w14:noSpellErr="1" w14:paraId="49C2D1E7" w14:textId="589BC7CB">
      <w:pPr>
        <w:pStyle w:val="ErklrungMarkierung"/>
      </w:pPr>
      <w:r w:rsidR="2DCE464F">
        <w:rPr/>
        <w:t>Löschen Sie raus, was nicht zutrifft:</w:t>
      </w:r>
    </w:p>
    <w:p w:rsidR="2DCE464F" w:rsidP="0BB6A2AF" w:rsidRDefault="2DCE464F" w14:paraId="19C6E4CB" w14:textId="33A1615B">
      <w:pPr>
        <w:pStyle w:val="Textbox"/>
        <w:suppressLineNumbers w:val="0"/>
        <w:pBdr>
          <w:top w:val="single" w:color="000000" w:sz="2" w:space="0"/>
          <w:left w:val="single" w:color="000000" w:sz="2" w:space="0"/>
          <w:bottom w:val="single" w:color="000000" w:sz="2" w:space="0"/>
          <w:right w:val="single" w:color="000000" w:sz="2" w:space="0"/>
        </w:pBdr>
        <w:shd w:val="clear" w:color="auto" w:fill="F2F6F8"/>
        <w:bidi w:val="0"/>
        <w:spacing w:before="120" w:beforeAutospacing="off" w:after="0" w:afterAutospacing="off" w:line="360" w:lineRule="auto"/>
        <w:ind w:left="0" w:right="0"/>
        <w:jc w:val="left"/>
      </w:pPr>
      <w:r w:rsidR="2DCE464F">
        <w:rPr/>
        <w:t xml:space="preserve"/>
      </w:r>
      <w:r>
        <w:rPr/>
        <w:t xml:space="preserve">Ja, gänzlich oder teilweise | Nein | Nicht relevant</w:t>
      </w:r>
      <w:r w:rsidR="2DCE464F">
        <w:rPr/>
        <w:t xml:space="preserve"/>
      </w:r>
    </w:p>
    <w:p w:rsidR="2DCE464F" w:rsidP="0BB6A2AF" w:rsidRDefault="2DCE464F" w14:paraId="7419869F" w14:textId="1CF80CDF">
      <w:pPr>
        <w:pStyle w:val="ErklrungMarkierung"/>
        <w:spacing w:before="400"/>
        <w:ind w:left="708"/>
      </w:pPr>
      <w:r w:rsidR="2DCE464F">
        <w:rPr/>
        <w:t xml:space="preserve">Bei </w:t>
      </w:r>
      <w:r w:rsidRPr="373ECF6C" w:rsidR="2DCE464F">
        <w:rPr>
          <w:b w:val="1"/>
          <w:bCs w:val="1"/>
        </w:rPr>
        <w:t>„Nein“</w:t>
      </w:r>
      <w:r w:rsidR="2DCE464F">
        <w:rPr/>
        <w:t xml:space="preserve"> oder </w:t>
      </w:r>
      <w:r w:rsidRPr="373ECF6C" w:rsidR="2DCE464F">
        <w:rPr>
          <w:b w:val="1"/>
          <w:bCs w:val="1"/>
        </w:rPr>
        <w:t>„Nicht relevant“</w:t>
      </w:r>
      <w:r w:rsidR="2DCE464F">
        <w:rPr/>
        <w:t xml:space="preserve"> begründen Sie die Entscheidung.</w:t>
      </w:r>
    </w:p>
    <w:p w:rsidR="2DCE464F" w:rsidP="0BB6A2AF" w:rsidRDefault="2DCE464F" w14:noSpellErr="1" w14:paraId="15B7C98D" w14:textId="31EB2D3A">
      <w:pPr>
        <w:pStyle w:val="TextboxLabel"/>
      </w:pPr>
      <w:r w:rsidR="2DCE464F">
        <w:rPr/>
        <w:t>Begründung für „Nein“ oder „Nicht relevant“</w:t>
      </w:r>
    </w:p>
    <w:p w:rsidR="2DCE464F" w:rsidP="0BB6A2AF" w:rsidRDefault="2DCE464F" w14:noSpellErr="1" w14:paraId="6E48FE3D" w14:textId="2AE1234B">
      <w:pPr>
        <w:pStyle w:val="Textbox"/>
        <w:ind w:left="708"/>
      </w:pPr>
      <w:r w:rsidR="2DCE464F">
        <w:rPr/>
        <w:t xml:space="preserve"> </w:t>
      </w:r>
      <w:r>
        <w:rPr/>
        <w:t xml:space="preserve">Hier ausfüllen (falls relevant)</w:t>
      </w:r>
      <w:r w:rsidR="2DCE464F">
        <w:rPr/>
        <w:t xml:space="preserve"/>
      </w:r>
    </w:p>
    <w:p w:rsidR="2DCE464F" w:rsidP="0BB6A2AF" w:rsidRDefault="2DCE464F" w14:noSpellErr="1" w14:paraId="29749364" w14:textId="573CFC64">
      <w:pPr>
        <w:pStyle w:val="ErklrungMarkierung"/>
        <w:spacing w:before="400"/>
        <w:ind w:left="708"/>
      </w:pPr>
      <w:r w:rsidR="0917FDD6">
        <w:rPr/>
        <w:t xml:space="preserve">Nur, wenn Sie </w:t>
      </w:r>
      <w:r w:rsidRPr="4E8296B2" w:rsidR="0917FDD6">
        <w:rPr>
          <w:b w:val="1"/>
          <w:bCs w:val="1"/>
        </w:rPr>
        <w:t>„Ja (gänzlich oder teilweise)“</w:t>
      </w:r>
      <w:r w:rsidR="0917FDD6">
        <w:rPr/>
        <w:t xml:space="preserve"> gewählt haben: </w:t>
      </w:r>
    </w:p>
    <w:p w:rsidR="57068F46" w:rsidP="4E8296B2" w:rsidRDefault="57068F46" w14:paraId="474E1604" w14:textId="3245EC6B">
      <w:pPr>
        <w:pStyle w:val="ErklrungMarkierung"/>
        <w:spacing w:before="0"/>
        <w:ind w:left="708"/>
      </w:pPr>
      <w:r w:rsidR="57068F46">
        <w:rPr/>
        <w:t xml:space="preserve">Unter </w:t>
      </w:r>
      <w:r w:rsidRPr="4E8296B2" w:rsidR="57068F46">
        <w:rPr>
          <w:b w:val="1"/>
          <w:bCs w:val="1"/>
        </w:rPr>
        <w:t>„Erläuterung“</w:t>
      </w:r>
      <w:r w:rsidR="57068F46">
        <w:rPr/>
        <w:t xml:space="preserve"> tragen Sie bitte 2–3 Stichpunkte mit Verweis auf die relevanten Paragrafen oder Regelungen ein.</w:t>
      </w:r>
      <w:r>
        <w:br/>
      </w:r>
      <w:r w:rsidR="57068F46">
        <w:rPr/>
        <w:t xml:space="preserve">Geben Sie mindestens eine Erläuterung zur Anwendung des Prinzips an und wählen Sie dabei passende Schwerpunkte aus. Wenn keine Schwerpunkte zutreffen, dann nutzen Sie das untenstehende Eingabefeld </w:t>
      </w:r>
      <w:r w:rsidRPr="4E8296B2" w:rsidR="57068F46">
        <w:rPr>
          <w:b w:val="1"/>
          <w:bCs w:val="1"/>
        </w:rPr>
        <w:t>„Eigener Punkt“</w:t>
      </w:r>
      <w:r w:rsidR="57068F46">
        <w:rPr/>
        <w:t>.</w:t>
      </w:r>
    </w:p>
    <w:p>
      <w:pPr>
        <w:pStyle w:val="Heading2"/>
        <w:ind w:left="720"/>
      </w:pPr>
      <w:bookmarkStart w:name="stellen-sie-den-datenschutz-sicher" w:id="1"/>
      <w:r>
        <w:t xml:space="preserve">Stellen Sie den Datenschutz sicher</w:t>
      </w:r>
      <w:bookmarkEnd w:id="1"/>
    </w:p>
    <w:p>
      <w:pPr>
        <w:ind w:left="720"/>
      </w:pPr>
      <w:r>
        <w:t xml:space="preserve">Für den Datenschutz sind nur personenbezogene Daten relevant. Um diese zu verarbeiten, muss eine geeignete Rechtsgrundlage existieren. "Datenverarbeitung" umfasst u. a. das Erheben, Speichern, Abfragen, Übermitteln, Verknüpfen oder Löschen von Daten (</w:t>
      </w:r>
      <w:hyperlink w:history="1" r:id="rIdjqefmq1s0xszsl4ca-dpw">
        <w:r>
          <w:rPr>
            <w:rStyle w:val="Hyperlink"/>
          </w:rPr>
          <w:t xml:space="preserve">s. Art. 4 Abs. 2 DSGVO</w:t>
        </w:r>
      </w:hyperlink>
      <w:r>
        <w:t xml:space="preserve">). Tauschen Sie sich mit Ihren Datenschutzbeauftragten aus oder kontaktieren Sie die </w:t>
      </w:r>
      <w:hyperlink w:history="1" r:id="rIdwni1mnrekk7vm6fm0g5d-">
        <w:r>
          <w:rPr>
            <w:rStyle w:val="Hyperlink"/>
          </w:rPr>
          <w:t xml:space="preserve">BfDI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bookmarkStart w:name="gew-hrleisten-sie-die-informationssicherheit" w:id="1"/>
      <w:r>
        <w:t xml:space="preserve">Gewährleisten Sie die Informationssicherheit</w:t>
      </w:r>
      <w:bookmarkEnd w:id="1"/>
    </w:p>
    <w:p>
      <w:pPr>
        <w:ind w:left="720"/>
      </w:pPr>
      <w:r>
        <w:t xml:space="preserve">Informationssicherheit betrifft alle Arten von Daten, vor allem wirtschafts- oder sicherheitsrelevante. Alle Daten müssen sicher gespeichert und übertragen werden. Dies erschwert den missbräuchlichen Zugriff, etwa zum Erschleichen von Leistungen. Folgen Sie den </w:t>
      </w:r>
      <w:hyperlink w:history="1" r:id="rIdvyt6fmldfydaljo2opzmf">
        <w:r>
          <w:rPr>
            <w:rStyle w:val="Hyperlink"/>
          </w:rPr>
          <w:t xml:space="preserve">Empfehlungen des BSI</w:t>
        </w:r>
      </w:hyperlink>
      <w:r>
        <w:t xml:space="preserve">.</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pPr>
        <w:pStyle w:val="Heading2"/>
        <w:ind w:left="720"/>
      </w:pPr>
      <w:r>
        <w:t xml:space="preserve">Eigener Punkt</w:t>
      </w:r>
    </w:p>
    <w:p>
      <w:pPr>
        <w:pStyle w:val="Textbox Label"/>
        <w:ind w:left="720"/>
      </w:pPr>
      <w:r>
        <w:t xml:space="preserve">Paragrafen</w:t>
      </w:r>
    </w:p>
    <w:p>
      <w:pPr>
        <w:pStyle w:val="Textbox"/>
        <w:ind w:left="720"/>
      </w:pPr>
      <w:r>
        <w:t xml:space="preserve">Hier ausfüllen (falls relevant)</w:t>
      </w:r>
    </w:p>
    <w:p>
      <w:pPr>
        <w:pStyle w:val="Textbox Label"/>
        <w:ind w:left="720"/>
      </w:pPr>
      <w:r>
        <w:t xml:space="preserve">Erläuterung</w:t>
      </w:r>
    </w:p>
    <w:p>
      <w:pPr>
        <w:pStyle w:val="Textbox"/>
        <w:ind w:left="720"/>
      </w:pPr>
      <w:r>
        <w:t xml:space="preserve">Hier ausfüllen (falls relevant)</w:t>
      </w:r>
    </w:p>
    <w:p w:rsidR="22A5A959" w:rsidP="22A5A959" w:rsidRDefault="22A5A959" w14:paraId="2FBB2D73" w14:textId="7E3BC13B">
      <w:pPr>
        <w:pStyle w:val="Normal"/>
        <w:pBdr>
          <w:bottom w:val="single" w:color="000000" w:sz="6" w:space="1"/>
        </w:pBdr>
        <w:ind w:left="0"/>
      </w:pPr>
    </w:p>
    <w:p w:rsidR="008B5A93" w:rsidP="22A5A959" w:rsidRDefault="008453F4" w14:paraId="440A5423" w14:noSpellErr="1" w14:textId="4E2EED68">
      <w:pPr>
        <w:pStyle w:val="Heading1"/>
        <w:spacing w:before="720" w:beforeAutospacing="off"/>
        <w:rPr>
          <w:b w:val="1"/>
          <w:bCs w:val="1"/>
        </w:rPr>
      </w:pPr>
      <w:r w:rsidRPr="22A5A959" w:rsidR="369839AE">
        <w:rPr>
          <w:b w:val="1"/>
          <w:bCs w:val="1"/>
        </w:rPr>
        <w:t>Das ist jetzt zu tun</w:t>
      </w:r>
    </w:p>
    <w:p w:rsidR="008B5A93" w:rsidRDefault="00DE01E0" w14:paraId="5B4A9F7A" w14:textId="0AE5C871">
      <w:pPr>
        <w:pStyle w:val="ListParagraph"/>
        <w:numPr>
          <w:ilvl w:val="0"/>
          <w:numId w:val="4"/>
        </w:numPr>
      </w:pPr>
      <w:r>
        <w:rPr>
          <w:b/>
          <w:bCs/>
        </w:rPr>
        <w:t>Speichern</w:t>
      </w:r>
      <w:r>
        <w:t xml:space="preserve"> Sie die Dokumentation als </w:t>
      </w:r>
      <w:r>
        <w:rPr>
          <w:b/>
          <w:bCs/>
        </w:rPr>
        <w:t>PDF</w:t>
      </w:r>
    </w:p>
    <w:p w:rsidR="008B5A93" w:rsidRDefault="00DE01E0" w14:paraId="58D4F737" w14:textId="54F44308">
      <w:pPr>
        <w:pStyle w:val="ListParagraph"/>
        <w:numPr>
          <w:ilvl w:val="0"/>
          <w:numId w:val="4"/>
        </w:numPr>
      </w:pPr>
      <w:r>
        <w:rPr>
          <w:b/>
          <w:bCs/>
        </w:rPr>
        <w:t>Senden</w:t>
      </w:r>
      <w:r>
        <w:t xml:space="preserve"> Sie die von Ihnen erstellte Dokumentation als PDF per E-Mail an folgende Adresse: </w:t>
      </w:r>
      <w:hyperlink w:history="1" r:id="rId26">
        <w:r>
          <w:rPr>
            <w:rStyle w:val="Hyperlink"/>
          </w:rPr>
          <w:t>nkr@bmj.bund.de</w:t>
        </w:r>
      </w:hyperlink>
      <w:r>
        <w:t>. Der NKR (Nationaler Normenkontrollrat) prüft Ihr Vorhaben hinsichtlich der Berücksichtigung der Prinzipien digitaltauglicher Gesetzgebung. Bei Fragen wird der NKR auf Sie zukommen.</w:t>
      </w:r>
    </w:p>
    <w:p w:rsidR="008B5A93" w:rsidRDefault="00DE01E0" w14:paraId="7D1CE865" w14:textId="41FCE6F9">
      <w:pPr>
        <w:pStyle w:val="ListParagraph"/>
        <w:numPr>
          <w:ilvl w:val="0"/>
          <w:numId w:val="4"/>
        </w:numPr>
      </w:pPr>
      <w:r>
        <w:rPr>
          <w:b/>
          <w:bCs/>
        </w:rPr>
        <w:t>Bei Interoperabilitätsbezug</w:t>
      </w:r>
      <w:r>
        <w:t xml:space="preserve"> senden Sie eine Kopie der E-Mail mit der PDF-Datei an </w:t>
      </w:r>
      <w:hyperlink w:history="1" r:id="rId27">
        <w:r>
          <w:rPr>
            <w:rStyle w:val="Hyperlink"/>
          </w:rPr>
          <w:t>interoperabel@digitalservice.bund.de</w:t>
        </w:r>
      </w:hyperlink>
      <w:r>
        <w:t>.</w:t>
      </w:r>
    </w:p>
    <w:p w:rsidR="008B5A93" w:rsidRDefault="00DE01E0" w14:paraId="590C6EB7" w14:textId="37D4EB6E">
      <w:pPr>
        <w:pStyle w:val="ListParagraph"/>
        <w:numPr>
          <w:ilvl w:val="0"/>
          <w:numId w:val="4"/>
        </w:numPr>
      </w:pPr>
      <w:r>
        <w:rPr>
          <w:b/>
          <w:bCs/>
        </w:rPr>
        <w:t>Visuelle Darstellungen</w:t>
      </w:r>
      <w:r>
        <w:t xml:space="preserve"> und Skizzen sind vom NKR gern gesehen. Hängen Sie diese formlos als PDF oder als Screenshot an.</w:t>
      </w:r>
    </w:p>
    <w:p w:rsidR="008B5A93" w:rsidRDefault="00DE01E0" w14:paraId="4D003E44" w14:textId="48F4C02F">
      <w:pPr>
        <w:pStyle w:val="ListParagraph"/>
        <w:numPr>
          <w:ilvl w:val="0"/>
          <w:numId w:val="4"/>
        </w:numPr>
      </w:pPr>
      <w:r>
        <w:t>Damit ist der Digitalcheck für Sie beendet.</w:t>
      </w:r>
    </w:p>
    <w:p w:rsidR="008B5A93" w:rsidP="00BE6DBB" w:rsidRDefault="00DE01E0" w14:paraId="1D61A41A" w14:textId="0D56A226">
      <w:pPr>
        <w:pStyle w:val="Heading2"/>
      </w:pPr>
      <w:r>
        <w:t>Gut zu wissen: Das prüft der Nationale Normenkontrollrat</w:t>
      </w:r>
    </w:p>
    <w:p w:rsidR="008B5A93" w:rsidRDefault="00DE01E0" w14:paraId="45E1346A" w14:textId="4D223C03">
      <w:r>
        <w:t>Der NKR prüft das Regelungsvorhaben auf Möglichkeiten der digitalen Umsetzung. Die Basis ist der von Ihnen durchgeführte Digitalcheck. Das wesentliche Prüfkriterium ist die methodische und inhaltliche Nachvollziehbarkeit. Sein Prüfergebnis veröffentlicht er gegebenenfalls in seinen Stellungnahmen. Wenn Sie eine Visualisierung angefertigt haben und Sie der Veröffentlichung zustimmen, kann diese an die Stellungnahme angehängt werden. Bei Fragen oder Anregungen kommt Ihre Ansprechperson im NKR-Sekretariat auf Sie zu.</w:t>
      </w:r>
    </w:p>
    <w:p w:rsidR="008B5A93" w:rsidP="00BE6DBB" w:rsidRDefault="00DE01E0" w14:paraId="6BA49E79" w14:textId="77777777">
      <w:pPr>
        <w:pStyle w:val="Heading2"/>
      </w:pPr>
      <w:r>
        <w:t xml:space="preserve">Sie haben Fragen oder benötigen Unterstützung? </w:t>
      </w:r>
    </w:p>
    <w:p w:rsidR="3D4058DD" w:rsidP="4E8296B2" w:rsidRDefault="3D4058DD" w14:noSpellErr="1" w14:paraId="6420B3BD" w14:textId="34EBDB2C">
      <w:pPr>
        <w:pStyle w:val="Normal"/>
      </w:pPr>
      <w:r w:rsidR="3D4058DD">
        <w:rPr/>
        <w:t xml:space="preserve">Rufen Sie uns an: 0151 4076 7839 oder schreiben Sie uns unter: </w:t>
      </w:r>
      <w:hyperlink r:id="Rd139b697bc7a425a">
        <w:r w:rsidRPr="4E8296B2" w:rsidR="3D4058DD">
          <w:rPr>
            <w:rStyle w:val="Hyperlink"/>
          </w:rPr>
          <w:t>digitalcheck@digitalservice.bund.de</w:t>
        </w:r>
      </w:hyperlink>
      <w:r w:rsidR="3D4058DD">
        <w:rPr/>
        <w:t>.</w:t>
      </w:r>
    </w:p>
    <w:sectPr w:rsidR="008B5A93" w:rsidSect="000431C4">
      <w:headerReference w:type="default" r:id="rId29"/>
      <w:footerReference w:type="default" r:id="rId30"/>
      <w:headerReference w:type="first" r:id="rId31"/>
      <w:footerReference w:type="first" r:id="rId32"/>
      <w:pgSz w:w="11906" w:h="16838" w:orient="portrait"/>
      <w:pgMar w:top="1440" w:right="1440" w:bottom="1440" w:left="1440" w:header="708" w:footer="709" w:gutter="0"/>
      <w:cols w:space="720"/>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BA3" w:rsidRDefault="00400BA3" w14:paraId="6CEB5FF0" w14:textId="77777777">
      <w:pPr>
        <w:spacing w:before="0" w:after="0" w:line="240" w:lineRule="auto"/>
      </w:pPr>
      <w:r>
        <w:separator/>
      </w:r>
    </w:p>
  </w:endnote>
  <w:endnote w:type="continuationSeparator" w:id="0">
    <w:p w:rsidR="00400BA3" w:rsidRDefault="00400BA3" w14:paraId="6A32AF1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8B4" w:rsidRDefault="008D18B4" w14:paraId="2B318F60" w14:textId="7777777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05896C40" w14:textId="77777777">
      <w:trPr>
        <w:trHeight w:val="300"/>
      </w:trPr>
      <w:tc>
        <w:tcPr>
          <w:tcW w:w="3005" w:type="dxa"/>
        </w:tcPr>
        <w:p w:rsidR="335639C7" w:rsidP="335639C7" w:rsidRDefault="335639C7" w14:paraId="65B6CD28" w14:textId="141533E9">
          <w:pPr>
            <w:pStyle w:val="Header"/>
            <w:ind w:left="-115"/>
          </w:pPr>
        </w:p>
      </w:tc>
      <w:tc>
        <w:tcPr>
          <w:tcW w:w="3005" w:type="dxa"/>
        </w:tcPr>
        <w:p w:rsidR="335639C7" w:rsidP="335639C7" w:rsidRDefault="335639C7" w14:paraId="25C88A99" w14:textId="19981082">
          <w:pPr>
            <w:pStyle w:val="Header"/>
            <w:jc w:val="center"/>
          </w:pPr>
        </w:p>
      </w:tc>
      <w:tc>
        <w:tcPr>
          <w:tcW w:w="3005" w:type="dxa"/>
        </w:tcPr>
        <w:p w:rsidR="335639C7" w:rsidP="335639C7" w:rsidRDefault="335639C7" w14:paraId="7726525D" w14:textId="1953BC5C">
          <w:pPr>
            <w:pStyle w:val="Header"/>
            <w:ind w:right="-115"/>
            <w:jc w:val="right"/>
          </w:pPr>
        </w:p>
      </w:tc>
    </w:tr>
  </w:tbl>
  <w:p w:rsidR="335639C7" w:rsidP="335639C7" w:rsidRDefault="335639C7" w14:paraId="000017A0" w14:textId="02D4F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BA3" w:rsidRDefault="00400BA3" w14:paraId="25BBDD4F" w14:textId="77777777">
      <w:pPr>
        <w:spacing w:before="0" w:after="0" w:line="240" w:lineRule="auto"/>
      </w:pPr>
      <w:r>
        <w:separator/>
      </w:r>
    </w:p>
  </w:footnote>
  <w:footnote w:type="continuationSeparator" w:id="0">
    <w:p w:rsidR="00400BA3" w:rsidRDefault="00400BA3" w14:paraId="5241FC0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90"/>
      <w:gridCol w:w="6444"/>
    </w:tblGrid>
    <w:tr w:rsidR="008B5A93" w:rsidTr="1B360891" w14:paraId="445049D7" w14:textId="77777777">
      <w:trPr>
        <w:trHeight w:val="567"/>
      </w:trPr>
      <w:tc>
        <w:tcPr>
          <w:tcW w:w="269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bottom"/>
        </w:tcPr>
        <w:p w:rsidR="008B5A93" w:rsidP="1B360891" w:rsidRDefault="011E39D5" w14:paraId="08E27E21" w14:textId="135B4EC6">
          <w:pPr>
            <w:spacing w:before="0" w:after="480" w:afterAutospacing="off" w:line="276" w:lineRule="auto"/>
            <w:jc w:val="left"/>
            <w:rPr>
              <w:sz w:val="18"/>
              <w:szCs w:val="18"/>
            </w:rPr>
          </w:pPr>
          <w:r w:rsidRPr="1B360891" w:rsidR="1B360891">
            <w:rPr>
              <w:sz w:val="18"/>
              <w:szCs w:val="18"/>
            </w:rPr>
            <w:t>Version Oktober 2025</w:t>
          </w:r>
          <w:r>
            <w:br/>
          </w:r>
          <w:r>
            <w:br/>
          </w:r>
          <w:r w:rsidRPr="1B360891" w:rsidR="1B360891">
            <w:rPr>
              <w:sz w:val="18"/>
              <w:szCs w:val="18"/>
            </w:rPr>
            <w:t xml:space="preserve">Datum: </w:t>
          </w:r>
          <w:r>
            <w:rPr>
              <w:sz w:val="18"/>
              <w:szCs w:val="18"/>
            </w:rPr>
            <w:t xml:space="preserve">13.12.2025</w:t>
          </w:r>
          <w:r w:rsidRPr="1B360891" w:rsidR="1B360891">
            <w:rPr>
              <w:sz w:val="18"/>
              <w:szCs w:val="18"/>
            </w:rPr>
            <w:t xml:space="preserve"/>
          </w:r>
          <w:r w:rsidRPr="1B360891" w:rsidR="1B360891">
            <w:rPr>
              <w:sz w:val="18"/>
              <w:szCs w:val="18"/>
            </w:rPr>
            <w:t/>
          </w:r>
          <w:r w:rsidRPr="1B360891" w:rsidR="1B360891">
            <w:rPr>
              <w:sz w:val="18"/>
              <w:szCs w:val="18"/>
            </w:rPr>
            <w:t xml:space="preserve"/>
          </w:r>
        </w:p>
      </w:tc>
      <w:tc>
        <w:tcPr>
          <w:tcW w:w="6444"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vAlign w:val="top"/>
        </w:tcPr>
        <w:p w:rsidR="008B5A93" w:rsidP="4BC875F7" w:rsidRDefault="011E39D5" w14:paraId="0CD16E20" w14:textId="7ED5B5B1">
          <w:pPr>
            <w:pStyle w:val="Normal"/>
            <w:tabs>
              <w:tab w:val="left" w:pos="453"/>
              <w:tab w:val="right" w:pos="4330"/>
            </w:tabs>
            <w:spacing w:before="120" w:beforeAutospacing="on" w:after="0" w:afterAutospacing="off" w:line="0" w:lineRule="auto"/>
            <w:jc w:val="right"/>
          </w:pPr>
        </w:p>
        <w:p w:rsidR="008B5A93" w:rsidP="4BC875F7" w:rsidRDefault="011E39D5" w14:paraId="11867986" w14:textId="25BBAD9D">
          <w:pPr>
            <w:pStyle w:val="Normal"/>
            <w:tabs>
              <w:tab w:val="left" w:pos="453"/>
              <w:tab w:val="right" w:pos="4330"/>
            </w:tabs>
            <w:spacing w:before="120" w:beforeAutospacing="on" w:after="0" w:afterAutospacing="off" w:line="0" w:lineRule="auto"/>
            <w:jc w:val="right"/>
          </w:pPr>
          <w:r w:rsidR="1B360891">
            <w:drawing>
              <wp:inline wp14:editId="293AA713" wp14:anchorId="28F072C7">
                <wp:extent cx="1343025" cy="276225"/>
                <wp:effectExtent l="0" t="0" r="0" b="0"/>
                <wp:docPr id="1879064896" name="drawing" descr="Logo des Digitalchecks"/>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954700" name=""/>
                        <pic:cNvPicPr/>
                      </pic:nvPicPr>
                      <pic:blipFill>
                        <a:blip xmlns:r="http://schemas.openxmlformats.org/officeDocument/2006/relationships" r:embed="rId591666701">
                          <a:extLst>
                            <a:ext xmlns:a="http://schemas.openxmlformats.org/drawingml/2006/main" uri="{28A0092B-C50C-407E-A947-70E740481C1C}">
                              <a14:useLocalDpi xmlns:a14="http://schemas.microsoft.com/office/drawing/2010/main" val="0"/>
                            </a:ext>
                          </a:extLst>
                        </a:blip>
                        <a:stretch>
                          <a:fillRect/>
                        </a:stretch>
                      </pic:blipFill>
                      <pic:spPr>
                        <a:xfrm>
                          <a:off x="0" y="0"/>
                          <a:ext cx="1343025" cy="276225"/>
                        </a:xfrm>
                        <a:prstGeom prst="rect">
                          <a:avLst/>
                        </a:prstGeom>
                      </pic:spPr>
                    </pic:pic>
                  </a:graphicData>
                </a:graphic>
              </wp:inline>
            </w:drawing>
          </w:r>
        </w:p>
        <w:p w:rsidR="008B5A93" w:rsidP="4BC875F7" w:rsidRDefault="011E39D5" w14:paraId="740D7BB8" w14:textId="1B4CC76A">
          <w:pPr>
            <w:pStyle w:val="Normal"/>
            <w:tabs>
              <w:tab w:val="left" w:pos="453"/>
              <w:tab w:val="right" w:pos="4330"/>
            </w:tabs>
            <w:spacing w:before="120" w:beforeAutospacing="on" w:after="0" w:afterAutospacing="off" w:line="0" w:lineRule="auto"/>
            <w:jc w:val="right"/>
          </w:pPr>
        </w:p>
      </w:tc>
    </w:tr>
  </w:tbl>
  <w:p w:rsidR="4BC875F7" w:rsidRDefault="4BC875F7" w14:paraId="00CB55FD" w14:textId="146FA3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5639C7" w:rsidTr="335639C7" w14:paraId="2F29D05F" w14:textId="77777777">
      <w:trPr>
        <w:trHeight w:val="300"/>
      </w:trPr>
      <w:tc>
        <w:tcPr>
          <w:tcW w:w="3005" w:type="dxa"/>
        </w:tcPr>
        <w:p w:rsidR="335639C7" w:rsidP="335639C7" w:rsidRDefault="335639C7" w14:paraId="1E3C0B84" w14:textId="2ADA1538">
          <w:pPr>
            <w:pStyle w:val="Header"/>
            <w:ind w:left="-115"/>
          </w:pPr>
        </w:p>
      </w:tc>
      <w:tc>
        <w:tcPr>
          <w:tcW w:w="3005" w:type="dxa"/>
        </w:tcPr>
        <w:p w:rsidR="335639C7" w:rsidP="335639C7" w:rsidRDefault="335639C7" w14:paraId="06158EFA" w14:textId="70649F4D">
          <w:pPr>
            <w:pStyle w:val="Header"/>
            <w:jc w:val="center"/>
          </w:pPr>
        </w:p>
      </w:tc>
      <w:tc>
        <w:tcPr>
          <w:tcW w:w="3005" w:type="dxa"/>
        </w:tcPr>
        <w:p w:rsidR="335639C7" w:rsidP="335639C7" w:rsidRDefault="335639C7" w14:paraId="303E5561" w14:textId="2032DEC2">
          <w:pPr>
            <w:pStyle w:val="Header"/>
            <w:ind w:right="-115"/>
            <w:jc w:val="right"/>
          </w:pPr>
        </w:p>
      </w:tc>
    </w:tr>
  </w:tbl>
  <w:p w:rsidR="335639C7" w:rsidP="335639C7" w:rsidRDefault="335639C7" w14:paraId="2E5C3642" w14:textId="6E5B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BECF"/>
    <w:multiLevelType w:val="hybridMultilevel"/>
    <w:tmpl w:val="FFFFFFFF"/>
    <w:lvl w:ilvl="0" w:tplc="0778BF04">
      <w:start w:val="1"/>
      <w:numFmt w:val="bullet"/>
      <w:lvlText w:val=""/>
      <w:lvlJc w:val="left"/>
      <w:pPr>
        <w:ind w:left="1068" w:hanging="360"/>
      </w:pPr>
      <w:rPr>
        <w:rFonts w:hint="default" w:ascii="Symbol" w:hAnsi="Symbol"/>
      </w:rPr>
    </w:lvl>
    <w:lvl w:ilvl="1" w:tplc="B40A7FB8">
      <w:start w:val="1"/>
      <w:numFmt w:val="bullet"/>
      <w:lvlText w:val="o"/>
      <w:lvlJc w:val="left"/>
      <w:pPr>
        <w:ind w:left="1788" w:hanging="360"/>
      </w:pPr>
      <w:rPr>
        <w:rFonts w:hint="default" w:ascii="Courier New" w:hAnsi="Courier New"/>
      </w:rPr>
    </w:lvl>
    <w:lvl w:ilvl="2" w:tplc="15EEA9E0">
      <w:start w:val="1"/>
      <w:numFmt w:val="bullet"/>
      <w:lvlText w:val=""/>
      <w:lvlJc w:val="left"/>
      <w:pPr>
        <w:ind w:left="2508" w:hanging="360"/>
      </w:pPr>
      <w:rPr>
        <w:rFonts w:hint="default" w:ascii="Wingdings" w:hAnsi="Wingdings"/>
      </w:rPr>
    </w:lvl>
    <w:lvl w:ilvl="3" w:tplc="6C50ABD6">
      <w:start w:val="1"/>
      <w:numFmt w:val="bullet"/>
      <w:lvlText w:val=""/>
      <w:lvlJc w:val="left"/>
      <w:pPr>
        <w:ind w:left="3228" w:hanging="360"/>
      </w:pPr>
      <w:rPr>
        <w:rFonts w:hint="default" w:ascii="Symbol" w:hAnsi="Symbol"/>
      </w:rPr>
    </w:lvl>
    <w:lvl w:ilvl="4" w:tplc="DB14312E">
      <w:start w:val="1"/>
      <w:numFmt w:val="bullet"/>
      <w:lvlText w:val="o"/>
      <w:lvlJc w:val="left"/>
      <w:pPr>
        <w:ind w:left="3948" w:hanging="360"/>
      </w:pPr>
      <w:rPr>
        <w:rFonts w:hint="default" w:ascii="Courier New" w:hAnsi="Courier New"/>
      </w:rPr>
    </w:lvl>
    <w:lvl w:ilvl="5" w:tplc="2F4A8D6E">
      <w:start w:val="1"/>
      <w:numFmt w:val="bullet"/>
      <w:lvlText w:val=""/>
      <w:lvlJc w:val="left"/>
      <w:pPr>
        <w:ind w:left="4668" w:hanging="360"/>
      </w:pPr>
      <w:rPr>
        <w:rFonts w:hint="default" w:ascii="Wingdings" w:hAnsi="Wingdings"/>
      </w:rPr>
    </w:lvl>
    <w:lvl w:ilvl="6" w:tplc="47D64F26">
      <w:start w:val="1"/>
      <w:numFmt w:val="bullet"/>
      <w:lvlText w:val=""/>
      <w:lvlJc w:val="left"/>
      <w:pPr>
        <w:ind w:left="5388" w:hanging="360"/>
      </w:pPr>
      <w:rPr>
        <w:rFonts w:hint="default" w:ascii="Symbol" w:hAnsi="Symbol"/>
      </w:rPr>
    </w:lvl>
    <w:lvl w:ilvl="7" w:tplc="C602AEFE">
      <w:start w:val="1"/>
      <w:numFmt w:val="bullet"/>
      <w:lvlText w:val="o"/>
      <w:lvlJc w:val="left"/>
      <w:pPr>
        <w:ind w:left="6108" w:hanging="360"/>
      </w:pPr>
      <w:rPr>
        <w:rFonts w:hint="default" w:ascii="Courier New" w:hAnsi="Courier New"/>
      </w:rPr>
    </w:lvl>
    <w:lvl w:ilvl="8" w:tplc="D4742364">
      <w:start w:val="1"/>
      <w:numFmt w:val="bullet"/>
      <w:lvlText w:val=""/>
      <w:lvlJc w:val="left"/>
      <w:pPr>
        <w:ind w:left="6828" w:hanging="360"/>
      </w:pPr>
      <w:rPr>
        <w:rFonts w:hint="default" w:ascii="Wingdings" w:hAnsi="Wingdings"/>
      </w:rPr>
    </w:lvl>
  </w:abstractNum>
  <w:abstractNum w:abstractNumId="1" w15:restartNumberingAfterBreak="0">
    <w:nsid w:val="09BA6614"/>
    <w:multiLevelType w:val="multilevel"/>
    <w:tmpl w:val="9514A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2B6AF3"/>
    <w:multiLevelType w:val="hybridMultilevel"/>
    <w:tmpl w:val="9192086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40F773"/>
    <w:multiLevelType w:val="hybridMultilevel"/>
    <w:tmpl w:val="FFFFFFFF"/>
    <w:lvl w:ilvl="0" w:tplc="147E7B08">
      <w:start w:val="1"/>
      <w:numFmt w:val="bullet"/>
      <w:lvlText w:val=""/>
      <w:lvlJc w:val="left"/>
      <w:pPr>
        <w:ind w:left="1068" w:hanging="360"/>
      </w:pPr>
      <w:rPr>
        <w:rFonts w:hint="default" w:ascii="Symbol" w:hAnsi="Symbol"/>
      </w:rPr>
    </w:lvl>
    <w:lvl w:ilvl="1" w:tplc="789EE872">
      <w:start w:val="1"/>
      <w:numFmt w:val="bullet"/>
      <w:lvlText w:val="o"/>
      <w:lvlJc w:val="left"/>
      <w:pPr>
        <w:ind w:left="1788" w:hanging="360"/>
      </w:pPr>
      <w:rPr>
        <w:rFonts w:hint="default" w:ascii="Courier New" w:hAnsi="Courier New"/>
      </w:rPr>
    </w:lvl>
    <w:lvl w:ilvl="2" w:tplc="FD4CE0F4">
      <w:start w:val="1"/>
      <w:numFmt w:val="bullet"/>
      <w:lvlText w:val=""/>
      <w:lvlJc w:val="left"/>
      <w:pPr>
        <w:ind w:left="2508" w:hanging="360"/>
      </w:pPr>
      <w:rPr>
        <w:rFonts w:hint="default" w:ascii="Wingdings" w:hAnsi="Wingdings"/>
      </w:rPr>
    </w:lvl>
    <w:lvl w:ilvl="3" w:tplc="7E5402B8">
      <w:start w:val="1"/>
      <w:numFmt w:val="bullet"/>
      <w:lvlText w:val=""/>
      <w:lvlJc w:val="left"/>
      <w:pPr>
        <w:ind w:left="3228" w:hanging="360"/>
      </w:pPr>
      <w:rPr>
        <w:rFonts w:hint="default" w:ascii="Symbol" w:hAnsi="Symbol"/>
      </w:rPr>
    </w:lvl>
    <w:lvl w:ilvl="4" w:tplc="CC6CD9CA">
      <w:start w:val="1"/>
      <w:numFmt w:val="bullet"/>
      <w:lvlText w:val="o"/>
      <w:lvlJc w:val="left"/>
      <w:pPr>
        <w:ind w:left="3948" w:hanging="360"/>
      </w:pPr>
      <w:rPr>
        <w:rFonts w:hint="default" w:ascii="Courier New" w:hAnsi="Courier New"/>
      </w:rPr>
    </w:lvl>
    <w:lvl w:ilvl="5" w:tplc="D7A8D630">
      <w:start w:val="1"/>
      <w:numFmt w:val="bullet"/>
      <w:lvlText w:val=""/>
      <w:lvlJc w:val="left"/>
      <w:pPr>
        <w:ind w:left="4668" w:hanging="360"/>
      </w:pPr>
      <w:rPr>
        <w:rFonts w:hint="default" w:ascii="Wingdings" w:hAnsi="Wingdings"/>
      </w:rPr>
    </w:lvl>
    <w:lvl w:ilvl="6" w:tplc="827671CA">
      <w:start w:val="1"/>
      <w:numFmt w:val="bullet"/>
      <w:lvlText w:val=""/>
      <w:lvlJc w:val="left"/>
      <w:pPr>
        <w:ind w:left="5388" w:hanging="360"/>
      </w:pPr>
      <w:rPr>
        <w:rFonts w:hint="default" w:ascii="Symbol" w:hAnsi="Symbol"/>
      </w:rPr>
    </w:lvl>
    <w:lvl w:ilvl="7" w:tplc="AFBE7814">
      <w:start w:val="1"/>
      <w:numFmt w:val="bullet"/>
      <w:lvlText w:val="o"/>
      <w:lvlJc w:val="left"/>
      <w:pPr>
        <w:ind w:left="6108" w:hanging="360"/>
      </w:pPr>
      <w:rPr>
        <w:rFonts w:hint="default" w:ascii="Courier New" w:hAnsi="Courier New"/>
      </w:rPr>
    </w:lvl>
    <w:lvl w:ilvl="8" w:tplc="25688296">
      <w:start w:val="1"/>
      <w:numFmt w:val="bullet"/>
      <w:lvlText w:val=""/>
      <w:lvlJc w:val="left"/>
      <w:pPr>
        <w:ind w:left="6828" w:hanging="360"/>
      </w:pPr>
      <w:rPr>
        <w:rFonts w:hint="default" w:ascii="Wingdings" w:hAnsi="Wingdings"/>
      </w:rPr>
    </w:lvl>
  </w:abstractNum>
  <w:abstractNum w:abstractNumId="4" w15:restartNumberingAfterBreak="0">
    <w:nsid w:val="294905BC"/>
    <w:multiLevelType w:val="hybridMultilevel"/>
    <w:tmpl w:val="56683A8C"/>
    <w:lvl w:ilvl="0" w:tplc="8258C850">
      <w:start w:val="1"/>
      <w:numFmt w:val="bullet"/>
      <w:lvlText w:val="•"/>
      <w:lvlJc w:val="left"/>
      <w:pPr>
        <w:ind w:left="360" w:hanging="144"/>
      </w:pPr>
    </w:lvl>
    <w:lvl w:ilvl="1" w:tplc="595CA010">
      <w:numFmt w:val="decimal"/>
      <w:lvlText w:val=""/>
      <w:lvlJc w:val="left"/>
    </w:lvl>
    <w:lvl w:ilvl="2" w:tplc="31C26722">
      <w:numFmt w:val="decimal"/>
      <w:lvlText w:val=""/>
      <w:lvlJc w:val="left"/>
    </w:lvl>
    <w:lvl w:ilvl="3" w:tplc="1892E6C4">
      <w:numFmt w:val="decimal"/>
      <w:lvlText w:val=""/>
      <w:lvlJc w:val="left"/>
    </w:lvl>
    <w:lvl w:ilvl="4" w:tplc="8062CDF6">
      <w:numFmt w:val="decimal"/>
      <w:lvlText w:val=""/>
      <w:lvlJc w:val="left"/>
    </w:lvl>
    <w:lvl w:ilvl="5" w:tplc="09D8F718">
      <w:numFmt w:val="decimal"/>
      <w:lvlText w:val=""/>
      <w:lvlJc w:val="left"/>
    </w:lvl>
    <w:lvl w:ilvl="6" w:tplc="13F87E56">
      <w:numFmt w:val="decimal"/>
      <w:lvlText w:val=""/>
      <w:lvlJc w:val="left"/>
    </w:lvl>
    <w:lvl w:ilvl="7" w:tplc="29EEE12E">
      <w:numFmt w:val="decimal"/>
      <w:lvlText w:val=""/>
      <w:lvlJc w:val="left"/>
    </w:lvl>
    <w:lvl w:ilvl="8" w:tplc="278A4316">
      <w:numFmt w:val="decimal"/>
      <w:lvlText w:val=""/>
      <w:lvlJc w:val="left"/>
    </w:lvl>
  </w:abstractNum>
  <w:abstractNum w:abstractNumId="5" w15:restartNumberingAfterBreak="0">
    <w:nsid w:val="2DC7720C"/>
    <w:multiLevelType w:val="hybridMultilevel"/>
    <w:tmpl w:val="279CFB44"/>
    <w:lvl w:ilvl="0" w:tplc="FFFFFFFF">
      <w:start w:val="1"/>
      <w:numFmt w:val="decimal"/>
      <w:lvlText w:val="%1."/>
      <w:lvlJc w:val="left"/>
      <w:pPr>
        <w:ind w:left="720" w:hanging="360"/>
      </w:pPr>
    </w:lvl>
    <w:lvl w:ilvl="1" w:tplc="1834C4BE">
      <w:start w:val="1"/>
      <w:numFmt w:val="bullet"/>
      <w:lvlText w:val=""/>
      <w:lvlJc w:val="left"/>
      <w:pPr>
        <w:ind w:left="737" w:hanging="283"/>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20081F"/>
    <w:multiLevelType w:val="hybridMultilevel"/>
    <w:tmpl w:val="7FCAFB3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EAD371C"/>
    <w:multiLevelType w:val="hybridMultilevel"/>
    <w:tmpl w:val="1A707BCA"/>
    <w:lvl w:ilvl="0" w:tplc="0407000F">
      <w:start w:val="1"/>
      <w:numFmt w:val="decimal"/>
      <w:lvlText w:val="%1."/>
      <w:lvlJc w:val="left"/>
      <w:pPr>
        <w:ind w:left="720" w:hanging="360"/>
      </w:pPr>
    </w:lvl>
    <w:lvl w:ilvl="1" w:tplc="F272AF1E">
      <w:start w:val="1"/>
      <w:numFmt w:val="lowerLetter"/>
      <w:lvlText w:val="%2."/>
      <w:lvlJc w:val="left"/>
      <w:pPr>
        <w:ind w:left="851" w:hanging="284"/>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A7462D"/>
    <w:multiLevelType w:val="hybridMultilevel"/>
    <w:tmpl w:val="4DD661DA"/>
    <w:lvl w:ilvl="0" w:tplc="0816A642">
      <w:start w:val="1"/>
      <w:numFmt w:val="decimal"/>
      <w:lvlText w:val="%1."/>
      <w:lvlJc w:val="left"/>
      <w:pPr>
        <w:ind w:left="340"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05A8F"/>
    <w:multiLevelType w:val="hybridMultilevel"/>
    <w:tmpl w:val="AF4CA4CC"/>
    <w:lvl w:ilvl="0" w:tplc="A5FE750E">
      <w:start w:val="1"/>
      <w:numFmt w:val="bullet"/>
      <w:lvlText w:val="●"/>
      <w:lvlJc w:val="left"/>
      <w:pPr>
        <w:ind w:left="720" w:hanging="360"/>
      </w:pPr>
    </w:lvl>
    <w:lvl w:ilvl="1" w:tplc="2A5EC5F4">
      <w:start w:val="1"/>
      <w:numFmt w:val="bullet"/>
      <w:lvlText w:val="○"/>
      <w:lvlJc w:val="left"/>
      <w:pPr>
        <w:ind w:left="1440" w:hanging="360"/>
      </w:pPr>
    </w:lvl>
    <w:lvl w:ilvl="2" w:tplc="B37AC4E8">
      <w:start w:val="1"/>
      <w:numFmt w:val="bullet"/>
      <w:lvlText w:val="■"/>
      <w:lvlJc w:val="left"/>
      <w:pPr>
        <w:ind w:left="2160" w:hanging="360"/>
      </w:pPr>
    </w:lvl>
    <w:lvl w:ilvl="3" w:tplc="91EEF218">
      <w:start w:val="1"/>
      <w:numFmt w:val="bullet"/>
      <w:lvlText w:val="●"/>
      <w:lvlJc w:val="left"/>
      <w:pPr>
        <w:ind w:left="2880" w:hanging="360"/>
      </w:pPr>
    </w:lvl>
    <w:lvl w:ilvl="4" w:tplc="16563FBA">
      <w:start w:val="1"/>
      <w:numFmt w:val="bullet"/>
      <w:lvlText w:val="○"/>
      <w:lvlJc w:val="left"/>
      <w:pPr>
        <w:ind w:left="3600" w:hanging="360"/>
      </w:pPr>
    </w:lvl>
    <w:lvl w:ilvl="5" w:tplc="35567388">
      <w:start w:val="1"/>
      <w:numFmt w:val="bullet"/>
      <w:lvlText w:val="■"/>
      <w:lvlJc w:val="left"/>
      <w:pPr>
        <w:ind w:left="4320" w:hanging="360"/>
      </w:pPr>
    </w:lvl>
    <w:lvl w:ilvl="6" w:tplc="B066EEA2">
      <w:start w:val="1"/>
      <w:numFmt w:val="bullet"/>
      <w:lvlText w:val="●"/>
      <w:lvlJc w:val="left"/>
      <w:pPr>
        <w:ind w:left="5040" w:hanging="360"/>
      </w:pPr>
    </w:lvl>
    <w:lvl w:ilvl="7" w:tplc="3EB06FEE">
      <w:start w:val="1"/>
      <w:numFmt w:val="bullet"/>
      <w:lvlText w:val="●"/>
      <w:lvlJc w:val="left"/>
      <w:pPr>
        <w:ind w:left="5760" w:hanging="360"/>
      </w:pPr>
    </w:lvl>
    <w:lvl w:ilvl="8" w:tplc="7118017C">
      <w:start w:val="1"/>
      <w:numFmt w:val="bullet"/>
      <w:lvlText w:val="●"/>
      <w:lvlJc w:val="left"/>
      <w:pPr>
        <w:ind w:left="6480" w:hanging="360"/>
      </w:pPr>
    </w:lvl>
  </w:abstractNum>
  <w:abstractNum w:abstractNumId="10" w15:restartNumberingAfterBreak="0">
    <w:nsid w:val="77F53FF2"/>
    <w:multiLevelType w:val="hybridMultilevel"/>
    <w:tmpl w:val="D8C6CF86"/>
    <w:lvl w:ilvl="0" w:tplc="FFFFFFFF">
      <w:start w:val="1"/>
      <w:numFmt w:val="decimal"/>
      <w:lvlText w:val="%1."/>
      <w:lvlJc w:val="left"/>
      <w:pPr>
        <w:ind w:left="720" w:hanging="360"/>
      </w:pPr>
    </w:lvl>
    <w:lvl w:ilvl="1" w:tplc="04070001">
      <w:start w:val="1"/>
      <w:numFmt w:val="bullet"/>
      <w:lvlText w:val=""/>
      <w:lvlJc w:val="left"/>
      <w:pPr>
        <w:ind w:left="927"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98573">
    <w:abstractNumId w:val="3"/>
  </w:num>
  <w:num w:numId="2" w16cid:durableId="1937975814">
    <w:abstractNumId w:val="0"/>
  </w:num>
  <w:num w:numId="3" w16cid:durableId="1425152852">
    <w:abstractNumId w:val="9"/>
    <w:lvlOverride w:ilvl="0">
      <w:startOverride w:val="1"/>
    </w:lvlOverride>
  </w:num>
  <w:num w:numId="4" w16cid:durableId="1383598908">
    <w:abstractNumId w:val="4"/>
    <w:lvlOverride w:ilvl="0">
      <w:startOverride w:val="1"/>
    </w:lvlOverride>
  </w:num>
  <w:num w:numId="5" w16cid:durableId="717630971">
    <w:abstractNumId w:val="6"/>
  </w:num>
  <w:num w:numId="6" w16cid:durableId="2073383238">
    <w:abstractNumId w:val="7"/>
  </w:num>
  <w:num w:numId="7" w16cid:durableId="968586121">
    <w:abstractNumId w:val="2"/>
  </w:num>
  <w:num w:numId="8" w16cid:durableId="1923102623">
    <w:abstractNumId w:val="1"/>
  </w:num>
  <w:num w:numId="9" w16cid:durableId="173038326">
    <w:abstractNumId w:val="8"/>
  </w:num>
  <w:num w:numId="10" w16cid:durableId="1943491278">
    <w:abstractNumId w:val="10"/>
  </w:num>
  <w:num w:numId="11" w16cid:durableId="2968366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93"/>
    <w:rsid w:val="000431C4"/>
    <w:rsid w:val="002D477C"/>
    <w:rsid w:val="00303870"/>
    <w:rsid w:val="003555A1"/>
    <w:rsid w:val="00400BA3"/>
    <w:rsid w:val="00435A87"/>
    <w:rsid w:val="00594122"/>
    <w:rsid w:val="005D2BAE"/>
    <w:rsid w:val="0063687D"/>
    <w:rsid w:val="00760AF9"/>
    <w:rsid w:val="00833A74"/>
    <w:rsid w:val="008453F4"/>
    <w:rsid w:val="008B5A93"/>
    <w:rsid w:val="00AC4067"/>
    <w:rsid w:val="00AD46D5"/>
    <w:rsid w:val="00AE0633"/>
    <w:rsid w:val="00B30ECA"/>
    <w:rsid w:val="00B521B1"/>
    <w:rsid w:val="00B72C5A"/>
    <w:rsid w:val="00BE6DBB"/>
    <w:rsid w:val="00C050A0"/>
    <w:rsid w:val="00C7312D"/>
    <w:rsid w:val="00CE5942"/>
    <w:rsid w:val="00DD33A8"/>
    <w:rsid w:val="00DE01E0"/>
    <w:rsid w:val="00F1F381"/>
    <w:rsid w:val="00F85351"/>
    <w:rsid w:val="00FA2AF5"/>
    <w:rsid w:val="00FD6DAB"/>
    <w:rsid w:val="011E39D5"/>
    <w:rsid w:val="026D136B"/>
    <w:rsid w:val="026EA854"/>
    <w:rsid w:val="0340D43F"/>
    <w:rsid w:val="03B3AD0C"/>
    <w:rsid w:val="03E28C97"/>
    <w:rsid w:val="040ED65B"/>
    <w:rsid w:val="04BBA40E"/>
    <w:rsid w:val="0532EC15"/>
    <w:rsid w:val="05F9D13A"/>
    <w:rsid w:val="067ACF7F"/>
    <w:rsid w:val="070AD8E9"/>
    <w:rsid w:val="074132F7"/>
    <w:rsid w:val="0917FDD6"/>
    <w:rsid w:val="0983D2B3"/>
    <w:rsid w:val="0A1165AB"/>
    <w:rsid w:val="0A241B79"/>
    <w:rsid w:val="0ABE1273"/>
    <w:rsid w:val="0B72C87B"/>
    <w:rsid w:val="0B7CC55C"/>
    <w:rsid w:val="0B8C86C0"/>
    <w:rsid w:val="0BAE1BEE"/>
    <w:rsid w:val="0BB6A2AF"/>
    <w:rsid w:val="0C0E18B2"/>
    <w:rsid w:val="0CD791F6"/>
    <w:rsid w:val="0CF8E06C"/>
    <w:rsid w:val="0D017924"/>
    <w:rsid w:val="0D3D9D87"/>
    <w:rsid w:val="0DB76148"/>
    <w:rsid w:val="0EF7379C"/>
    <w:rsid w:val="0F060171"/>
    <w:rsid w:val="0F9B31C4"/>
    <w:rsid w:val="0FA0393F"/>
    <w:rsid w:val="0FEBEC7D"/>
    <w:rsid w:val="1038226C"/>
    <w:rsid w:val="10CFA7D9"/>
    <w:rsid w:val="11712579"/>
    <w:rsid w:val="12FD35AF"/>
    <w:rsid w:val="13031369"/>
    <w:rsid w:val="1336FCA2"/>
    <w:rsid w:val="1361028A"/>
    <w:rsid w:val="15960720"/>
    <w:rsid w:val="1602BF3C"/>
    <w:rsid w:val="165E6E06"/>
    <w:rsid w:val="179C91A3"/>
    <w:rsid w:val="17C42AFB"/>
    <w:rsid w:val="180725E4"/>
    <w:rsid w:val="182E3405"/>
    <w:rsid w:val="18708CFE"/>
    <w:rsid w:val="1870962C"/>
    <w:rsid w:val="18A272B3"/>
    <w:rsid w:val="1919F12B"/>
    <w:rsid w:val="19505D30"/>
    <w:rsid w:val="19F2741F"/>
    <w:rsid w:val="1A698A39"/>
    <w:rsid w:val="1A7DEA1D"/>
    <w:rsid w:val="1B35B9D6"/>
    <w:rsid w:val="1B360891"/>
    <w:rsid w:val="1B532F1C"/>
    <w:rsid w:val="1B58531B"/>
    <w:rsid w:val="1B8EC039"/>
    <w:rsid w:val="1BE69716"/>
    <w:rsid w:val="1C274134"/>
    <w:rsid w:val="1C5FDDDA"/>
    <w:rsid w:val="1CB648FF"/>
    <w:rsid w:val="1CC49441"/>
    <w:rsid w:val="1DCB5AFF"/>
    <w:rsid w:val="1DE20EFD"/>
    <w:rsid w:val="1E477CAB"/>
    <w:rsid w:val="1E488131"/>
    <w:rsid w:val="1E97B508"/>
    <w:rsid w:val="1EA2A3CC"/>
    <w:rsid w:val="1EA763BF"/>
    <w:rsid w:val="1F22C777"/>
    <w:rsid w:val="1F340F29"/>
    <w:rsid w:val="1FCEA82D"/>
    <w:rsid w:val="22827A1B"/>
    <w:rsid w:val="22A5A959"/>
    <w:rsid w:val="23056FD4"/>
    <w:rsid w:val="2419AB5B"/>
    <w:rsid w:val="25BBD5CC"/>
    <w:rsid w:val="27180E3C"/>
    <w:rsid w:val="27551155"/>
    <w:rsid w:val="2784E47C"/>
    <w:rsid w:val="28618D86"/>
    <w:rsid w:val="28879140"/>
    <w:rsid w:val="28983142"/>
    <w:rsid w:val="28AC8F70"/>
    <w:rsid w:val="28C9601B"/>
    <w:rsid w:val="28E78CAC"/>
    <w:rsid w:val="2913FBEC"/>
    <w:rsid w:val="2A1051CC"/>
    <w:rsid w:val="2B6B7CB4"/>
    <w:rsid w:val="2BCEDCE9"/>
    <w:rsid w:val="2C2B3684"/>
    <w:rsid w:val="2CCABCFE"/>
    <w:rsid w:val="2D1A8727"/>
    <w:rsid w:val="2D2D9495"/>
    <w:rsid w:val="2DCE464F"/>
    <w:rsid w:val="2DD7F88C"/>
    <w:rsid w:val="2DE46AEB"/>
    <w:rsid w:val="2E21BA0B"/>
    <w:rsid w:val="2EF8929F"/>
    <w:rsid w:val="2F6AD5A5"/>
    <w:rsid w:val="2FDA1697"/>
    <w:rsid w:val="2FFF90CB"/>
    <w:rsid w:val="305E97C8"/>
    <w:rsid w:val="306C521C"/>
    <w:rsid w:val="309AC9A2"/>
    <w:rsid w:val="30D8F490"/>
    <w:rsid w:val="319E947E"/>
    <w:rsid w:val="3225CFAA"/>
    <w:rsid w:val="3266A4E2"/>
    <w:rsid w:val="33078A5D"/>
    <w:rsid w:val="33088216"/>
    <w:rsid w:val="334E15F9"/>
    <w:rsid w:val="335639C7"/>
    <w:rsid w:val="33D6B7F9"/>
    <w:rsid w:val="33FDDA62"/>
    <w:rsid w:val="35854328"/>
    <w:rsid w:val="361A8402"/>
    <w:rsid w:val="369839AE"/>
    <w:rsid w:val="36EB2636"/>
    <w:rsid w:val="373ECF6C"/>
    <w:rsid w:val="37613A47"/>
    <w:rsid w:val="38B61FCD"/>
    <w:rsid w:val="38F00EA7"/>
    <w:rsid w:val="39116292"/>
    <w:rsid w:val="3944AE1B"/>
    <w:rsid w:val="39565176"/>
    <w:rsid w:val="39848E1E"/>
    <w:rsid w:val="39A3CC2C"/>
    <w:rsid w:val="3B16630C"/>
    <w:rsid w:val="3B518D62"/>
    <w:rsid w:val="3BFFB210"/>
    <w:rsid w:val="3C0B7F2A"/>
    <w:rsid w:val="3CBE0649"/>
    <w:rsid w:val="3CCC0421"/>
    <w:rsid w:val="3D2308F3"/>
    <w:rsid w:val="3D4058DD"/>
    <w:rsid w:val="3D7B42EB"/>
    <w:rsid w:val="3D8BD482"/>
    <w:rsid w:val="3D8EA83C"/>
    <w:rsid w:val="3E559491"/>
    <w:rsid w:val="3E9F60AF"/>
    <w:rsid w:val="3EB7443B"/>
    <w:rsid w:val="3EBFDE14"/>
    <w:rsid w:val="3F229895"/>
    <w:rsid w:val="3F4A7308"/>
    <w:rsid w:val="3FA576FB"/>
    <w:rsid w:val="3FE2D551"/>
    <w:rsid w:val="3FE68857"/>
    <w:rsid w:val="4109E41F"/>
    <w:rsid w:val="415738FB"/>
    <w:rsid w:val="419AE38D"/>
    <w:rsid w:val="41E6AAC6"/>
    <w:rsid w:val="4238AFFD"/>
    <w:rsid w:val="4242D223"/>
    <w:rsid w:val="42C414A0"/>
    <w:rsid w:val="4346A53D"/>
    <w:rsid w:val="43704DDE"/>
    <w:rsid w:val="43D21167"/>
    <w:rsid w:val="442D843B"/>
    <w:rsid w:val="4495EC6C"/>
    <w:rsid w:val="44AEB613"/>
    <w:rsid w:val="44DA8725"/>
    <w:rsid w:val="45C02A2B"/>
    <w:rsid w:val="45C5BF82"/>
    <w:rsid w:val="47A85FAF"/>
    <w:rsid w:val="47C9C4A2"/>
    <w:rsid w:val="47E83134"/>
    <w:rsid w:val="47F50B17"/>
    <w:rsid w:val="482128C9"/>
    <w:rsid w:val="48C58AEB"/>
    <w:rsid w:val="49489076"/>
    <w:rsid w:val="49868248"/>
    <w:rsid w:val="499B04BE"/>
    <w:rsid w:val="49F03D3E"/>
    <w:rsid w:val="4BC875F7"/>
    <w:rsid w:val="4C3A0697"/>
    <w:rsid w:val="4D0C4CB0"/>
    <w:rsid w:val="4D695FA8"/>
    <w:rsid w:val="4E46561F"/>
    <w:rsid w:val="4E8296B2"/>
    <w:rsid w:val="4E829C91"/>
    <w:rsid w:val="4F0C0C70"/>
    <w:rsid w:val="506D84AE"/>
    <w:rsid w:val="50774171"/>
    <w:rsid w:val="509D1B50"/>
    <w:rsid w:val="51B98E22"/>
    <w:rsid w:val="52141D68"/>
    <w:rsid w:val="52FC04D9"/>
    <w:rsid w:val="531755EF"/>
    <w:rsid w:val="5328BB1F"/>
    <w:rsid w:val="536FECB0"/>
    <w:rsid w:val="539C4060"/>
    <w:rsid w:val="53A8036A"/>
    <w:rsid w:val="54454BB3"/>
    <w:rsid w:val="5520578F"/>
    <w:rsid w:val="56742EAD"/>
    <w:rsid w:val="56E086F6"/>
    <w:rsid w:val="56E85DE4"/>
    <w:rsid w:val="56EB884A"/>
    <w:rsid w:val="57068F46"/>
    <w:rsid w:val="573BD25B"/>
    <w:rsid w:val="576A1258"/>
    <w:rsid w:val="576DF023"/>
    <w:rsid w:val="57A03DA0"/>
    <w:rsid w:val="59D3B5B9"/>
    <w:rsid w:val="5ACF6139"/>
    <w:rsid w:val="5BFAFD1C"/>
    <w:rsid w:val="5C541721"/>
    <w:rsid w:val="5C8224DE"/>
    <w:rsid w:val="5D64F04B"/>
    <w:rsid w:val="5D9F3A5A"/>
    <w:rsid w:val="5E65AD8D"/>
    <w:rsid w:val="5EE2E3E1"/>
    <w:rsid w:val="5EF72E27"/>
    <w:rsid w:val="5F159BEE"/>
    <w:rsid w:val="5F67FCAE"/>
    <w:rsid w:val="5F81231E"/>
    <w:rsid w:val="5FB0716D"/>
    <w:rsid w:val="62E1C167"/>
    <w:rsid w:val="62F8C183"/>
    <w:rsid w:val="636FB554"/>
    <w:rsid w:val="63D96447"/>
    <w:rsid w:val="647F01E4"/>
    <w:rsid w:val="64E23220"/>
    <w:rsid w:val="65C90C0A"/>
    <w:rsid w:val="662EA956"/>
    <w:rsid w:val="669F9EB4"/>
    <w:rsid w:val="66CDBE74"/>
    <w:rsid w:val="672C179C"/>
    <w:rsid w:val="67E0BDF3"/>
    <w:rsid w:val="67ECBCCF"/>
    <w:rsid w:val="68B8D0E7"/>
    <w:rsid w:val="6A22CA0F"/>
    <w:rsid w:val="6A3B8A97"/>
    <w:rsid w:val="6A7ECC93"/>
    <w:rsid w:val="6AAF7CA7"/>
    <w:rsid w:val="6B419490"/>
    <w:rsid w:val="6BD662F9"/>
    <w:rsid w:val="6C00119F"/>
    <w:rsid w:val="6C6CF7F8"/>
    <w:rsid w:val="6CEFC7CD"/>
    <w:rsid w:val="6D93969B"/>
    <w:rsid w:val="6DEBDED1"/>
    <w:rsid w:val="6E1FBE1E"/>
    <w:rsid w:val="6E92597A"/>
    <w:rsid w:val="6E9D95BC"/>
    <w:rsid w:val="6F2DBAA2"/>
    <w:rsid w:val="6F852156"/>
    <w:rsid w:val="6FB948E4"/>
    <w:rsid w:val="6FC202AA"/>
    <w:rsid w:val="70ED4611"/>
    <w:rsid w:val="7150C6DD"/>
    <w:rsid w:val="716F043B"/>
    <w:rsid w:val="72654525"/>
    <w:rsid w:val="7271AB88"/>
    <w:rsid w:val="73559143"/>
    <w:rsid w:val="73EEB059"/>
    <w:rsid w:val="740EB450"/>
    <w:rsid w:val="742B24D4"/>
    <w:rsid w:val="7439B352"/>
    <w:rsid w:val="74545B8C"/>
    <w:rsid w:val="746E7B1D"/>
    <w:rsid w:val="74DC6FA0"/>
    <w:rsid w:val="74E0782F"/>
    <w:rsid w:val="7525331C"/>
    <w:rsid w:val="76162013"/>
    <w:rsid w:val="76A336D0"/>
    <w:rsid w:val="771705A5"/>
    <w:rsid w:val="77713771"/>
    <w:rsid w:val="7793C8CF"/>
    <w:rsid w:val="77C6680F"/>
    <w:rsid w:val="77DA8503"/>
    <w:rsid w:val="7A193EA8"/>
    <w:rsid w:val="7AAD3532"/>
    <w:rsid w:val="7ABC638E"/>
    <w:rsid w:val="7B2341C5"/>
    <w:rsid w:val="7BF901B7"/>
    <w:rsid w:val="7BFAF36F"/>
    <w:rsid w:val="7CD8F868"/>
    <w:rsid w:val="7D69F47D"/>
    <w:rsid w:val="7DFA692C"/>
    <w:rsid w:val="7EAD1CB0"/>
    <w:rsid w:val="7F15EE4B"/>
    <w:rsid w:val="7F2CF6E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8E63"/>
  <w15:docId w15:val="{8D9343E6-E77F-1C41-8523-B49CBE6FE1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color w:val="000000"/>
        <w:lang w:val="de-DE" w:eastAsia="de-DE" w:bidi="ar-SA"/>
      </w:rPr>
    </w:rPrDefault>
    <w:pPrDefault>
      <w:pPr>
        <w:spacing w:before="18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rsid w:val="00BE6DBB"/>
    <w:pPr>
      <w:keepNext/>
      <w:spacing w:before="840"/>
      <w:outlineLvl w:val="0"/>
    </w:pPr>
    <w:rPr>
      <w:sz w:val="32"/>
      <w:szCs w:val="32"/>
    </w:rPr>
  </w:style>
  <w:style w:type="paragraph" w:styleId="Heading2">
    <w:name w:val="heading 2"/>
    <w:uiPriority w:val="9"/>
    <w:unhideWhenUsed/>
    <w:qFormat/>
    <w:rsid w:val="00BE6DBB"/>
    <w:pPr>
      <w:spacing w:before="360"/>
      <w:outlineLvl w:val="1"/>
    </w:pPr>
    <w:rPr>
      <w:sz w:val="24"/>
      <w:szCs w:val="24"/>
    </w:rPr>
  </w:style>
  <w:style w:type="paragraph" w:styleId="Heading3">
    <w:name w:val="heading 3"/>
    <w:uiPriority w:val="9"/>
    <w:unhideWhenUsed/>
    <w:qFormat/>
    <w:pPr>
      <w:outlineLvl w:val="2"/>
    </w:pPr>
    <w:rPr>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40"/>
      <w:szCs w:val="40"/>
    </w:rPr>
  </w:style>
  <w:style w:type="paragraph" w:styleId="Fett1" w:customStyle="1">
    <w:name w:val="Fett1"/>
    <w:qFormat/>
    <w:rPr>
      <w:b/>
      <w:bCs/>
    </w:rPr>
  </w:style>
  <w:style w:type="paragraph" w:styleId="ListParagraph">
    <w:name w:val="List Paragraph"/>
    <w:qFormat/>
    <w:rsid w:val="00B30ECA"/>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style>
  <w:style w:type="character" w:styleId="FootnoteTextChar" w:customStyle="1">
    <w:name w:val="Footnote Text Char"/>
    <w:link w:val="FootnoteText"/>
    <w:uiPriority w:val="99"/>
    <w:semiHidden/>
    <w:unhideWhenUsed/>
    <w:rPr>
      <w:sz w:val="20"/>
      <w:szCs w:val="20"/>
    </w:rPr>
  </w:style>
  <w:style w:type="paragraph" w:styleId="NoSpacing">
    <w:name w:val="No Spacing"/>
    <w:uiPriority w:val="1"/>
    <w:qFormat/>
    <w:rsid w:val="00303870"/>
    <w:pPr>
      <w:spacing w:before="0" w:after="0" w:line="240" w:lineRule="auto"/>
    </w:pPr>
  </w:style>
  <w:style w:type="paragraph" w:styleId="Header">
    <w:name w:val="header"/>
    <w:basedOn w:val="Normal"/>
    <w:link w:val="HeaderChar"/>
    <w:uiPriority w:val="99"/>
    <w:unhideWhenUsed/>
    <w:rsid w:val="000431C4"/>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0431C4"/>
  </w:style>
  <w:style w:type="paragraph" w:styleId="Footer">
    <w:name w:val="footer"/>
    <w:basedOn w:val="Normal"/>
    <w:link w:val="FooterChar"/>
    <w:uiPriority w:val="99"/>
    <w:unhideWhenUsed/>
    <w:rsid w:val="000431C4"/>
    <w:pPr>
      <w:tabs>
        <w:tab w:val="center" w:pos="4536"/>
        <w:tab w:val="right" w:pos="9072"/>
      </w:tabs>
      <w:spacing w:before="0" w:after="0" w:line="240" w:lineRule="auto"/>
    </w:pPr>
  </w:style>
  <w:style w:type="character" w:styleId="FooterChar" w:customStyle="1">
    <w:name w:val="Footer Char"/>
    <w:basedOn w:val="DefaultParagraphFont"/>
    <w:link w:val="Footer"/>
    <w:uiPriority w:val="99"/>
    <w:rsid w:val="000431C4"/>
  </w:style>
  <w:style w:type="paragraph" w:styleId="ErklrungMarkierung" w:customStyle="1">
    <w:name w:val="Erklärung Markierung"/>
    <w:basedOn w:val="Normal"/>
    <w:qFormat/>
    <w:rsid w:val="00F85351"/>
    <w:pPr>
      <w:shd w:val="clear" w:color="auto" w:fill="FFF9D2"/>
    </w:pPr>
  </w:style>
  <w:style w:type="paragraph" w:styleId="TextboxLabel" w:customStyle="1">
    <w:name w:val="Textbox Label"/>
    <w:basedOn w:val="Normal"/>
    <w:qFormat/>
    <w:rsid w:val="00C050A0"/>
    <w:pPr>
      <w:spacing w:before="240" w:after="0"/>
      <w:ind w:left="708"/>
    </w:pPr>
    <w:rPr>
      <w:sz w:val="16"/>
    </w:rPr>
  </w:style>
  <w:style w:type="paragraph" w:styleId="Textbox" w:customStyle="1">
    <w:name w:val="Textbox"/>
    <w:basedOn w:val="Normal"/>
    <w:qFormat/>
    <w:rsid w:val="00DE01E0"/>
    <w:pPr>
      <w:pBdr>
        <w:top w:val="single" w:color="000000" w:sz="2" w:space="0"/>
        <w:left w:val="single" w:color="000000" w:sz="2" w:space="0"/>
        <w:bottom w:val="single" w:color="000000" w:sz="2" w:space="0"/>
        <w:right w:val="single" w:color="000000" w:sz="2" w:space="0"/>
      </w:pBdr>
      <w:shd w:val="clear" w:color="auto" w:fill="F2F6F8"/>
      <w:spacing w:before="60" w:after="0" w:line="360" w:lineRule="auto"/>
    </w:pPr>
  </w:style>
  <w:style w:type="paragraph" w:styleId="SchwerpunktBeschreibung" w:customStyle="1">
    <w:name w:val="Schwerpunkt Beschreibung"/>
    <w:basedOn w:val="Normal"/>
    <w:qFormat/>
    <w:rsid w:val="008453F4"/>
    <w:pPr>
      <w:keepNext/>
      <w:spacing w:line="276" w:lineRule="auto"/>
      <w:ind w:left="708"/>
    </w:pPr>
    <w:rPr>
      <w:sz w:val="16"/>
      <w:szCs w:val="16"/>
    </w:rPr>
  </w:style>
  <w:style w:type="paragraph" w:styleId="Erklrungpositiv" w:customStyle="1">
    <w:name w:val="Erklärung positiv"/>
    <w:basedOn w:val="Normal"/>
    <w:link w:val="ErklrungpositivChar"/>
    <w:uiPriority w:val="1"/>
    <w:qFormat/>
    <w:rsid w:val="335639C7"/>
    <w:pPr>
      <w:shd w:val="clear" w:color="auto" w:fill="FFF9D2"/>
    </w:pPr>
    <w:rPr>
      <w:color w:val="000000" w:themeColor="text1"/>
    </w:rPr>
  </w:style>
  <w:style w:type="character" w:styleId="ErklrungpositivChar" w:customStyle="1">
    <w:name w:val="Erklärung positiv Char"/>
    <w:basedOn w:val="DefaultParagraphFont"/>
    <w:link w:val="Erklrungpositiv"/>
    <w:rsid w:val="335639C7"/>
    <w:rPr>
      <w:rFonts w:ascii="Arial" w:hAnsi="Arial" w:eastAsia="Arial" w:cs="Arial"/>
      <w:color w:val="000000" w:themeColor="text1"/>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hyperlink" Target="mailto:nkr@bmj.bund.de" TargetMode="External" Id="rId26"/><Relationship Type="http://schemas.openxmlformats.org/officeDocument/2006/relationships/styles" Target="styles.xml" Id="rId3"/><Relationship Type="http://schemas.openxmlformats.org/officeDocument/2006/relationships/theme" Target="theme/theme1.xml" Id="rId34"/><Relationship Type="http://schemas.openxmlformats.org/officeDocument/2006/relationships/endnotes" Target="endnotes.xml" Id="rId7"/><Relationship Type="http://schemas.openxmlformats.org/officeDocument/2006/relationships/fontTable" Target="fontTable.xml" Id="rId33"/><Relationship Type="http://schemas.openxmlformats.org/officeDocument/2006/relationships/numbering" Target="numbering.xml" Id="rId2"/><Relationship Type="http://schemas.openxmlformats.org/officeDocument/2006/relationships/header" Target="header1.xml" Id="rId29"/><Relationship Type="http://schemas.openxmlformats.org/officeDocument/2006/relationships/customXml" Target="../customXml/item1.xml" Id="rId1"/><Relationship Type="http://schemas.openxmlformats.org/officeDocument/2006/relationships/footnotes" Target="footnotes.xml" Id="rId6"/><Relationship Type="http://schemas.openxmlformats.org/officeDocument/2006/relationships/footer" Target="footer2.xml" Id="rId32"/><Relationship Type="http://schemas.openxmlformats.org/officeDocument/2006/relationships/webSettings" Target="webSettings.xml" Id="rId5"/><Relationship Type="http://schemas.openxmlformats.org/officeDocument/2006/relationships/header" Target="header2.xml" Id="rId31"/><Relationship Type="http://schemas.openxmlformats.org/officeDocument/2006/relationships/settings" Target="settings.xml" Id="rId4"/><Relationship Type="http://schemas.openxmlformats.org/officeDocument/2006/relationships/hyperlink" Target="mailto:interoperabel@digitalservice.bund.de" TargetMode="External" Id="rId27"/><Relationship Type="http://schemas.openxmlformats.org/officeDocument/2006/relationships/footer" Target="footer1.xml" Id="rId30"/><Relationship Type="http://schemas.openxmlformats.org/officeDocument/2006/relationships/hyperlink" Target="mailto:digitalcheck@digitalservice.bund.de" TargetMode="External" Id="Rd139b697bc7a425a"/><Relationship Type="http://schemas.openxmlformats.org/officeDocument/2006/relationships/hyperlink" Target="mailto:nkr@bmj.bund.de" TargetMode="External" Id="R2e4fb9d8574d421a"/><Relationship Type="http://schemas.openxmlformats.org/officeDocument/2006/relationships/hyperlink" Target="mailto:interoperabel@digitalservice.bund.de" TargetMode="External" Id="R4292cd7e6d7e4593"/><Relationship Id="rIddnijgxjcgemx3r_n8udkt" Type="http://schemas.openxmlformats.org/officeDocument/2006/relationships/hyperlink" Target="https://www.gesetze-im-internet.de/bgg/__12a.html" TargetMode="External"/><Relationship Id="rIdmyxrv1yl1dumqeedkyokz" Type="http://schemas.openxmlformats.org/officeDocument/2006/relationships/hyperlink" Target="https://www.cio.bund.de/Webs/CIO/DE/digitale-loesungen/digitale-verwaltung/registermodernisierung/registermodernisierung-node.html" TargetMode="External"/><Relationship Id="rIdtox9obo91x9rv8kzimo3d" Type="http://schemas.openxmlformats.org/officeDocument/2006/relationships/hyperlink" Target="https://www.fitko.de/" TargetMode="External"/><Relationship Id="rIdlvzjzaqvc3jqmngfrkz4t" Type="http://schemas.openxmlformats.org/officeDocument/2006/relationships/hyperlink" Target="https://www.xoev.de/" TargetMode="External"/><Relationship Id="rId1qrjff9mhidp0c8a3ep-t" Type="http://schemas.openxmlformats.org/officeDocument/2006/relationships/hyperlink" Target="https://www.xrepository.de/" TargetMode="External"/><Relationship Id="rIdjpuwkvtapvucuihxepddi" Type="http://schemas.openxmlformats.org/officeDocument/2006/relationships/hyperlink" Target="https://www.verwaltungsdaten-informationsplattform.de" TargetMode="External"/><Relationship Id="rId73j-t58bk7chnfaupzgc2" Type="http://schemas.openxmlformats.org/officeDocument/2006/relationships/hyperlink" Target="https://www.digitale-verwaltung.de/Webs/DV/DE/onlinezugangsgesetz/rahmenarchitektur/basisdienste-basiskomponenten/basisdienste-basiskomponenten-node.html" TargetMode="External"/><Relationship Id="rIdy0e2dkzafgvgo_t0aw0vj" Type="http://schemas.openxmlformats.org/officeDocument/2006/relationships/hyperlink" Target="https://www.bundestag.de/resource/blob/194886/696f36f795961df200fb27fb6803d83e/koalitionsvertrag-data.pdf#page=152" TargetMode="External"/><Relationship Id="rIdomdaq64klxcl3jbvppgqq" Type="http://schemas.openxmlformats.org/officeDocument/2006/relationships/hyperlink" Target="https://servicestandard.gov.de/" TargetMode="External"/><Relationship Id="rIdzydd5ilsvglpa7_nnrpy9" Type="http://schemas.openxmlformats.org/officeDocument/2006/relationships/hyperlink" Target="https://www.zendis.de/" TargetMode="External"/><Relationship Id="rIdffqzsegpwtcnmdscsmgmf" Type="http://schemas.openxmlformats.org/officeDocument/2006/relationships/hyperlink" Target="https://www.verwaltungsvorschriften-im-internet.de/bsvwvbund_21072009_O11313012.htm#paragraph42:~:text=Gesetzentw%C3%BCrfe%20m%C3%BCssen%20sprachlich,hat%20empfehlenden%20Charakter." TargetMode="External"/><Relationship Id="rIdsfi3li4lwky0zs5jqvfad" Type="http://schemas.openxmlformats.org/officeDocument/2006/relationships/hyperlink" Target="https://www.bmj.de/SharedDocs/Publikationen/DE/Fachpublikationen/Handbuch_der_Rechtsfoermlichkeit_4.pdf?__blob=publicationFile&amp;v=1#page=147" TargetMode="External"/><Relationship Id="rIdvndvzu2ofkd1zz1hlvw--" Type="http://schemas.openxmlformats.org/officeDocument/2006/relationships/hyperlink" Target="https://eur-lex.europa.eu/eli/reg/2016/679/oj?locale=de" TargetMode="External"/><Relationship Id="rIdjqefmq1s0xszsl4ca-dpw" Type="http://schemas.openxmlformats.org/officeDocument/2006/relationships/hyperlink" Target="https://eur-lex.europa.eu/legal-content/DE/TXT/?qid=1532348683434&amp;uri=CELEX%3A02016R0679-20160504" TargetMode="External"/><Relationship Id="rIdwni1mnrekk7vm6fm0g5d-" Type="http://schemas.openxmlformats.org/officeDocument/2006/relationships/hyperlink" Target="https://www.bfdi.bund.de/DE/Home/home_node.html" TargetMode="External"/><Relationship Id="rIdvyt6fmldfydaljo2opzmf" Type="http://schemas.openxmlformats.org/officeDocument/2006/relationships/hyperlink" Target="https://www.bsi.bund.de/DE/Themen/Oeffentliche-Verwaltung/oeffentliche-verwaltung_node.html" TargetMode="External"/></Relationships>
</file>

<file path=word/_rels/header1.xml.rels><?xml version="1.0" encoding="utf-8"?><Relationships xmlns="http://schemas.openxmlformats.org/package/2006/relationships"><Relationship Type="http://schemas.openxmlformats.org/officeDocument/2006/relationships/image" Target="/media/image2.png" Id="rId591666701"/></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0481-4600-3D47-8835-EAD54C1E42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dc:description/>
  <lastModifiedBy>Carl Gödecken</lastModifiedBy>
  <revision>14</revision>
  <dcterms:created xsi:type="dcterms:W3CDTF">2025-10-27T21:05:00.0000000Z</dcterms:created>
  <dcterms:modified xsi:type="dcterms:W3CDTF">2025-12-09T09:34:54.5819191Z</dcterms:modified>
</coreProperties>
</file>